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both"/>
        <w:rPr>
          <w:rFonts w:eastAsia="方正小标宋简体"/>
          <w:sz w:val="44"/>
          <w:szCs w:val="44"/>
        </w:rPr>
      </w:pPr>
    </w:p>
    <w:p>
      <w:pPr>
        <w:adjustRightInd w:val="0"/>
        <w:snapToGrid w:val="0"/>
        <w:spacing w:line="640" w:lineRule="exact"/>
        <w:jc w:val="center"/>
        <w:rPr>
          <w:rFonts w:eastAsia="方正小标宋简体"/>
          <w:sz w:val="44"/>
          <w:szCs w:val="44"/>
        </w:rPr>
      </w:pPr>
      <w:bookmarkStart w:id="0" w:name="_GoBack"/>
      <w:r>
        <w:rPr>
          <w:rFonts w:eastAsia="方正小标宋简体"/>
          <w:sz w:val="44"/>
          <w:szCs w:val="44"/>
        </w:rPr>
        <w:t>关于执行国家组织第</w:t>
      </w:r>
      <w:r>
        <w:rPr>
          <w:rFonts w:hint="eastAsia" w:eastAsia="方正小标宋简体"/>
          <w:sz w:val="44"/>
          <w:szCs w:val="44"/>
        </w:rPr>
        <w:t>八</w:t>
      </w:r>
      <w:r>
        <w:rPr>
          <w:rFonts w:eastAsia="方正小标宋简体"/>
          <w:sz w:val="44"/>
          <w:szCs w:val="44"/>
        </w:rPr>
        <w:t>批集中带量采购</w:t>
      </w:r>
    </w:p>
    <w:p>
      <w:pPr>
        <w:adjustRightInd w:val="0"/>
        <w:snapToGrid w:val="0"/>
        <w:spacing w:line="640" w:lineRule="exact"/>
        <w:jc w:val="center"/>
        <w:rPr>
          <w:rFonts w:eastAsia="方正小标宋简体"/>
          <w:sz w:val="44"/>
          <w:szCs w:val="44"/>
        </w:rPr>
      </w:pPr>
      <w:r>
        <w:rPr>
          <w:rFonts w:eastAsia="方正小标宋简体"/>
          <w:sz w:val="44"/>
          <w:szCs w:val="44"/>
        </w:rPr>
        <w:t>药品中选结果的通知</w:t>
      </w:r>
    </w:p>
    <w:p>
      <w:pPr>
        <w:adjustRightInd w:val="0"/>
        <w:snapToGrid w:val="0"/>
        <w:jc w:val="center"/>
        <w:rPr>
          <w:rFonts w:hint="eastAsia" w:ascii="仿宋_GB2312"/>
          <w:color w:val="000000"/>
        </w:rPr>
      </w:pPr>
      <w:r>
        <w:rPr>
          <w:rFonts w:hint="eastAsia" w:ascii="仿宋_GB2312" w:hAnsi="楷体"/>
          <w:color w:val="000000"/>
        </w:rPr>
        <w:t>济医保字〔2023〕10号</w:t>
      </w:r>
    </w:p>
    <w:bookmarkEnd w:id="0"/>
    <w:p>
      <w:pPr>
        <w:spacing w:line="560" w:lineRule="exact"/>
        <w:ind w:firstLine="628" w:firstLineChars="200"/>
      </w:pPr>
    </w:p>
    <w:p>
      <w:pPr>
        <w:adjustRightInd w:val="0"/>
        <w:snapToGrid w:val="0"/>
        <w:spacing w:line="580" w:lineRule="exact"/>
        <w:rPr>
          <w:rFonts w:hint="eastAsia" w:ascii="仿宋_GB2312"/>
          <w:snapToGrid w:val="0"/>
          <w:kern w:val="0"/>
        </w:rPr>
      </w:pPr>
      <w:r>
        <w:rPr>
          <w:rFonts w:hint="eastAsia" w:ascii="仿宋_GB2312" w:hAnsi="仿宋_GB2312" w:cs="仿宋_GB2312"/>
          <w:snapToGrid w:val="0"/>
          <w:kern w:val="0"/>
        </w:rPr>
        <w:t>各区县（功能区）医疗保障部门，</w:t>
      </w:r>
      <w:r>
        <w:rPr>
          <w:rFonts w:hint="eastAsia" w:ascii="仿宋_GB2312"/>
          <w:snapToGrid w:val="0"/>
          <w:kern w:val="0"/>
        </w:rPr>
        <w:t>市医疗保险事业中心、市医疗保险基金稽核中心，</w:t>
      </w:r>
      <w:r>
        <w:rPr>
          <w:rFonts w:hint="eastAsia" w:ascii="仿宋_GB2312" w:hAnsi="仿宋_GB2312" w:cs="仿宋_GB2312"/>
          <w:snapToGrid w:val="0"/>
          <w:kern w:val="0"/>
        </w:rPr>
        <w:t>各相关医疗机构：</w:t>
      </w:r>
    </w:p>
    <w:p>
      <w:pPr>
        <w:adjustRightInd w:val="0"/>
        <w:snapToGrid w:val="0"/>
        <w:spacing w:line="580" w:lineRule="exact"/>
        <w:ind w:firstLine="628" w:firstLineChars="200"/>
        <w:rPr>
          <w:rFonts w:hint="eastAsia" w:ascii="仿宋_GB2312" w:hAnsi="仿宋_GB2312" w:cs="仿宋_GB2312"/>
          <w:snapToGrid w:val="0"/>
          <w:kern w:val="0"/>
        </w:rPr>
      </w:pPr>
      <w:r>
        <w:rPr>
          <w:rFonts w:hint="eastAsia" w:ascii="仿宋_GB2312" w:hAnsi="仿宋_GB2312" w:cs="仿宋_GB2312"/>
          <w:snapToGrid w:val="0"/>
          <w:kern w:val="0"/>
        </w:rPr>
        <w:t>为贯彻落实党中央、国务院关于常态化制度化开展药品集中带量采购的决策部署，推动国家组织第八批药品集中采购（以下简称“</w:t>
      </w:r>
      <w:r>
        <w:rPr>
          <w:rFonts w:hint="eastAsia" w:ascii="仿宋_GB2312" w:hAnsi="仿宋_GB2312" w:cs="仿宋_GB2312"/>
          <w:snapToGrid w:val="0"/>
          <w:color w:val="000000"/>
          <w:kern w:val="0"/>
          <w:shd w:val="clear" w:color="auto" w:fill="FFFFFF"/>
        </w:rPr>
        <w:t>第八批国采</w:t>
      </w:r>
      <w:r>
        <w:rPr>
          <w:rFonts w:hint="eastAsia" w:ascii="仿宋_GB2312" w:hAnsi="仿宋_GB2312" w:cs="仿宋_GB2312"/>
          <w:snapToGrid w:val="0"/>
          <w:kern w:val="0"/>
        </w:rPr>
        <w:t>”）中选结果在我市顺利落地实施，根据国家组织药品联合采购办公室《全国药品集中采购文（GY-YD2023-1）》和省局《关于执行国家组织第八批集中带量采购药品中选结果的通知》，现就有关事项通知如下：</w:t>
      </w:r>
    </w:p>
    <w:p>
      <w:pPr>
        <w:adjustRightInd w:val="0"/>
        <w:snapToGrid w:val="0"/>
        <w:spacing w:line="580" w:lineRule="exact"/>
        <w:ind w:firstLine="628" w:firstLineChars="200"/>
        <w:rPr>
          <w:rFonts w:hint="eastAsia" w:ascii="黑体" w:hAnsi="黑体" w:eastAsia="黑体"/>
          <w:snapToGrid w:val="0"/>
          <w:kern w:val="0"/>
        </w:rPr>
      </w:pPr>
      <w:r>
        <w:rPr>
          <w:rFonts w:hint="eastAsia" w:ascii="黑体" w:hAnsi="黑体" w:eastAsia="黑体"/>
          <w:snapToGrid w:val="0"/>
          <w:kern w:val="0"/>
        </w:rPr>
        <w:t>一、落地执行时间</w:t>
      </w:r>
    </w:p>
    <w:p>
      <w:pPr>
        <w:adjustRightInd w:val="0"/>
        <w:snapToGrid w:val="0"/>
        <w:spacing w:line="580" w:lineRule="exact"/>
        <w:ind w:firstLine="628" w:firstLineChars="200"/>
        <w:rPr>
          <w:rFonts w:hint="eastAsia" w:ascii="仿宋_GB2312"/>
          <w:snapToGrid w:val="0"/>
          <w:kern w:val="0"/>
        </w:rPr>
      </w:pPr>
      <w:r>
        <w:rPr>
          <w:rFonts w:hint="eastAsia" w:ascii="仿宋_GB2312"/>
          <w:snapToGrid w:val="0"/>
          <w:kern w:val="0"/>
        </w:rPr>
        <w:t>2023年7月10日起，全市参加</w:t>
      </w:r>
      <w:r>
        <w:rPr>
          <w:rFonts w:hint="eastAsia" w:ascii="仿宋_GB2312"/>
          <w:snapToGrid w:val="0"/>
          <w:color w:val="000000"/>
          <w:kern w:val="0"/>
          <w:shd w:val="clear" w:color="auto" w:fill="FFFFFF"/>
        </w:rPr>
        <w:t>第八批国采</w:t>
      </w:r>
      <w:r>
        <w:rPr>
          <w:rFonts w:hint="eastAsia" w:ascii="仿宋_GB2312"/>
          <w:snapToGrid w:val="0"/>
          <w:kern w:val="0"/>
        </w:rPr>
        <w:t>的公立医疗机构（含驻鲁军队医疗机构，下同）和医保定点社会办医疗机构（以下简称“医疗机构”），按规定执行</w:t>
      </w:r>
      <w:r>
        <w:rPr>
          <w:rFonts w:hint="eastAsia" w:ascii="仿宋_GB2312"/>
          <w:snapToGrid w:val="0"/>
          <w:color w:val="000000"/>
          <w:kern w:val="0"/>
          <w:shd w:val="clear" w:color="auto" w:fill="FFFFFF"/>
        </w:rPr>
        <w:t>第八批国采</w:t>
      </w:r>
      <w:r>
        <w:rPr>
          <w:rFonts w:hint="eastAsia" w:ascii="仿宋_GB2312"/>
          <w:snapToGrid w:val="0"/>
          <w:kern w:val="0"/>
        </w:rPr>
        <w:t>中选结果，面向患者销售中选药品。2023年7月1日前，主供企业、备供企业、第二备供企业按供应清单（见附件1、2、3）分别将中选药品、备供药品在省药械集中采购平台按中选价格挂网，完成配送关系建立，供医疗机构购进适量中选药品备货。国采中选非山东省主供及备供企业按照不高于其中选价格的1.5倍或同品种最高中选价的原则挂网。2023年7月6日前，采购联合体已遴选确定的医疗机构为代表，统一与主供企业通过省药械集中采购平台签订购销协议，购销协议每年一签，首年采购周期为：2023年7月1日-2024年6月30日。</w:t>
      </w:r>
    </w:p>
    <w:p>
      <w:pPr>
        <w:adjustRightInd w:val="0"/>
        <w:snapToGrid w:val="0"/>
        <w:spacing w:line="580" w:lineRule="exact"/>
        <w:ind w:firstLine="628" w:firstLineChars="200"/>
        <w:rPr>
          <w:rFonts w:hint="eastAsia" w:ascii="仿宋_GB2312"/>
          <w:snapToGrid w:val="0"/>
          <w:kern w:val="0"/>
        </w:rPr>
      </w:pPr>
      <w:r>
        <w:rPr>
          <w:rFonts w:hint="eastAsia" w:ascii="黑体" w:hAnsi="黑体" w:eastAsia="黑体"/>
          <w:snapToGrid w:val="0"/>
          <w:kern w:val="0"/>
        </w:rPr>
        <w:t>二、主要配套措施</w:t>
      </w:r>
    </w:p>
    <w:p>
      <w:pPr>
        <w:adjustRightInd w:val="0"/>
        <w:snapToGrid w:val="0"/>
        <w:spacing w:line="580" w:lineRule="exact"/>
        <w:ind w:firstLine="628" w:firstLineChars="200"/>
        <w:rPr>
          <w:rFonts w:hint="eastAsia" w:ascii="仿宋_GB2312"/>
          <w:snapToGrid w:val="0"/>
          <w:kern w:val="0"/>
        </w:rPr>
      </w:pPr>
      <w:r>
        <w:rPr>
          <w:rFonts w:hint="eastAsia" w:ascii="楷体_GB2312" w:eastAsia="楷体_GB2312"/>
          <w:snapToGrid w:val="0"/>
          <w:kern w:val="0"/>
        </w:rPr>
        <w:t>（一）落实约定采购量。</w:t>
      </w:r>
      <w:r>
        <w:rPr>
          <w:rFonts w:hint="eastAsia" w:ascii="仿宋_GB2312"/>
          <w:snapToGrid w:val="0"/>
          <w:kern w:val="0"/>
        </w:rPr>
        <w:t>医疗机构要按照已自主填报的品种和需求，确保中选药品进入医院并按协议采购量采购。超出协议采购量的部分，主供企业仍需按中选价格进行供应，直至采购周期届满。采购周期内，若主供企业不能对医疗机构的订单及时作出响应，为保障临床需要，医疗机构可采购备供药品或第二备供药品；当主供企业出现不能及时足量供应或被取消中选资格等情况，致使不能满足我省（市）市场需求或无法继续履行带量采购协议时，根据省局通知，我市将启动程序依次以备供或第二备供企业替代原来的主供企业继续履行带量采购协议。当备供或第二备供企业也不能满足供应需求时，根据省局通知，我市将启动增补供应企业的流程。</w:t>
      </w:r>
    </w:p>
    <w:p>
      <w:pPr>
        <w:pStyle w:val="14"/>
        <w:adjustRightInd w:val="0"/>
        <w:snapToGrid w:val="0"/>
        <w:spacing w:line="580" w:lineRule="exact"/>
        <w:ind w:firstLine="628" w:firstLineChars="200"/>
        <w:rPr>
          <w:rFonts w:hint="eastAsia" w:ascii="仿宋_GB2312" w:hAnsi="Times New Roman" w:eastAsia="仿宋_GB2312"/>
          <w:snapToGrid w:val="0"/>
          <w:kern w:val="0"/>
        </w:rPr>
      </w:pPr>
      <w:r>
        <w:rPr>
          <w:rFonts w:hint="eastAsia" w:ascii="楷体_GB2312" w:hAnsi="Times New Roman" w:eastAsia="楷体_GB2312"/>
          <w:snapToGrid w:val="0"/>
          <w:kern w:val="0"/>
        </w:rPr>
        <w:t>（二）密切监测采购供应。</w:t>
      </w:r>
      <w:r>
        <w:rPr>
          <w:rFonts w:hint="eastAsia" w:ascii="仿宋_GB2312" w:hAnsi="仿宋_GB2312" w:eastAsia="仿宋_GB2312" w:cs="仿宋_GB2312"/>
          <w:snapToGrid w:val="0"/>
          <w:kern w:val="0"/>
        </w:rPr>
        <w:t>各区县医保部门要充分发挥药品耗材招采子系统集采全流程管理系统的作用，强化中选企业供应和医疗机构采购执行情况监测，落实集</w:t>
      </w:r>
      <w:r>
        <w:rPr>
          <w:rFonts w:hint="eastAsia" w:ascii="仿宋_GB2312" w:hAnsi="Times New Roman" w:eastAsia="仿宋_GB2312"/>
          <w:snapToGrid w:val="0"/>
          <w:kern w:val="0"/>
        </w:rPr>
        <w:t>采全流程管理措施。</w:t>
      </w:r>
      <w:r>
        <w:rPr>
          <w:rFonts w:hint="eastAsia" w:ascii="仿宋_GB2312" w:eastAsia="仿宋_GB2312"/>
          <w:snapToGrid w:val="0"/>
          <w:kern w:val="0"/>
        </w:rPr>
        <w:t>对于采购进度低于序时进度、中选产品采购数量占比明显偏低特别是非中选产品采购数量超过中选产品采购数量、可替代药品采购数量超过上一年度采购数量等问题的医疗机构，原则上至少每季度一次通报提醒，问题突出的要及时进行通报，对通报整改不到位的应及时采取相应措施。</w:t>
      </w:r>
    </w:p>
    <w:p>
      <w:pPr>
        <w:pStyle w:val="14"/>
        <w:adjustRightInd w:val="0"/>
        <w:snapToGrid w:val="0"/>
        <w:spacing w:line="580" w:lineRule="exact"/>
        <w:ind w:firstLine="628" w:firstLineChars="200"/>
        <w:rPr>
          <w:rFonts w:hint="eastAsia" w:ascii="仿宋_GB2312" w:hAnsi="Times New Roman" w:eastAsia="仿宋_GB2312"/>
          <w:snapToGrid w:val="0"/>
          <w:kern w:val="0"/>
        </w:rPr>
      </w:pPr>
      <w:r>
        <w:rPr>
          <w:rFonts w:hint="eastAsia" w:ascii="楷体_GB2312" w:hAnsi="Times New Roman" w:eastAsia="楷体_GB2312"/>
          <w:snapToGrid w:val="0"/>
          <w:kern w:val="0"/>
        </w:rPr>
        <w:t>（三）促进合理用药。</w:t>
      </w:r>
      <w:r>
        <w:rPr>
          <w:rFonts w:hint="eastAsia" w:ascii="仿宋_GB2312" w:hAnsi="Times New Roman" w:eastAsia="仿宋_GB2312"/>
          <w:snapToGrid w:val="0"/>
          <w:kern w:val="0"/>
        </w:rPr>
        <w:t>集采中选药品均已通过仿制药质量和疗效一致性评价，医疗机构要切实强化履约责任，优先采购和使用中选药品，要强化药品耗材招采子系统集采全流程管理系统应用，加强院内非中选和可替代药品使用监管，确保中选药品惠及广大患者。对于使用中选药品可能导致患者用药调整的情况，要对相关科室及医务人员进行专题培训，做好药品变动对患者的解释工作。</w:t>
      </w:r>
    </w:p>
    <w:p>
      <w:pPr>
        <w:adjustRightInd w:val="0"/>
        <w:snapToGrid w:val="0"/>
        <w:spacing w:line="580" w:lineRule="exact"/>
        <w:ind w:firstLine="628" w:firstLineChars="200"/>
        <w:rPr>
          <w:rFonts w:hint="eastAsia" w:ascii="仿宋_GB2312"/>
          <w:snapToGrid w:val="0"/>
          <w:kern w:val="0"/>
        </w:rPr>
      </w:pPr>
      <w:r>
        <w:rPr>
          <w:rFonts w:hint="eastAsia" w:ascii="楷体_GB2312" w:eastAsia="楷体_GB2312"/>
          <w:snapToGrid w:val="0"/>
          <w:kern w:val="0"/>
        </w:rPr>
        <w:t>（四）完善考核方式。</w:t>
      </w:r>
      <w:r>
        <w:rPr>
          <w:rFonts w:hint="eastAsia" w:ascii="仿宋_GB2312"/>
          <w:snapToGrid w:val="0"/>
          <w:kern w:val="0"/>
        </w:rPr>
        <w:t>对纳入国家和我省重点监控合理用药药品目录或因公共卫生事件等因素导致临床需求发生重大变化等情形的药品，协议执行情况将按中选药品约定采购量或中选药品使用比例考核，如第八批集采哌拉西林他唑巴坦注射剂、头孢哌酮舒巴坦注射剂和头孢噻肟注射剂等品种可适用于此种情况。</w:t>
      </w:r>
    </w:p>
    <w:p>
      <w:pPr>
        <w:pStyle w:val="14"/>
        <w:adjustRightInd w:val="0"/>
        <w:snapToGrid w:val="0"/>
        <w:spacing w:line="580" w:lineRule="exact"/>
        <w:ind w:firstLine="628" w:firstLineChars="200"/>
        <w:rPr>
          <w:rFonts w:hint="eastAsia" w:ascii="仿宋_GB2312" w:eastAsia="仿宋_GB2312"/>
          <w:snapToGrid w:val="0"/>
          <w:kern w:val="0"/>
        </w:rPr>
      </w:pPr>
      <w:r>
        <w:rPr>
          <w:rFonts w:hint="eastAsia" w:ascii="楷体_GB2312" w:hAnsi="Times New Roman" w:eastAsia="楷体_GB2312"/>
          <w:snapToGrid w:val="0"/>
          <w:kern w:val="0"/>
        </w:rPr>
        <w:t>（五）做好医保支付政策衔接和结算系统调整。</w:t>
      </w:r>
      <w:r>
        <w:rPr>
          <w:rFonts w:hint="eastAsia" w:ascii="仿宋_GB2312" w:hAnsi="Times New Roman" w:eastAsia="仿宋_GB2312"/>
          <w:snapToGrid w:val="0"/>
          <w:kern w:val="0"/>
        </w:rPr>
        <w:t>医保目录内的中选药品、备供药品、第二备供药品以中选价格作为医保支付标准，价格高于中选药品价格的非中选药品，医保个人首先自付比例提高10个百分点。医保经办机构要尽快梳理医保结算系统编码库，及时新增调整相关品种支付标准，并指导医疗机构做好对应。</w:t>
      </w:r>
    </w:p>
    <w:p>
      <w:pPr>
        <w:pStyle w:val="14"/>
        <w:adjustRightInd w:val="0"/>
        <w:snapToGrid w:val="0"/>
        <w:spacing w:line="580" w:lineRule="exact"/>
        <w:ind w:firstLine="628" w:firstLineChars="200"/>
        <w:rPr>
          <w:rFonts w:hint="eastAsia" w:ascii="仿宋_GB2312" w:hAnsi="Times New Roman" w:eastAsia="仿宋_GB2312"/>
          <w:snapToGrid w:val="0"/>
          <w:kern w:val="0"/>
        </w:rPr>
      </w:pPr>
      <w:r>
        <w:rPr>
          <w:rFonts w:hint="eastAsia" w:ascii="楷体_GB2312" w:hAnsi="Times New Roman" w:eastAsia="楷体_GB2312"/>
          <w:snapToGrid w:val="0"/>
          <w:kern w:val="0"/>
        </w:rPr>
        <w:t>（六）落实激励约束政策。</w:t>
      </w:r>
      <w:r>
        <w:rPr>
          <w:rFonts w:hint="eastAsia" w:ascii="仿宋_GB2312" w:hAnsi="Times New Roman" w:eastAsia="仿宋_GB2312"/>
          <w:snapToGrid w:val="0"/>
          <w:kern w:val="0"/>
        </w:rPr>
        <w:t>各区县医保部门要严格落实国家组织药品集中采购医保资金结余留用政策规定，引导医疗机构使用中选药品。按DRG支付方式结算的，首年不调整相应DRG组的权重。</w:t>
      </w:r>
      <w:r>
        <w:rPr>
          <w:rFonts w:hint="eastAsia" w:ascii="仿宋_GB2312" w:hAnsi="Times New Roman" w:eastAsia="仿宋_GB2312"/>
          <w:snapToGrid w:val="0"/>
          <w:kern w:val="0"/>
          <w:shd w:val="clear" w:color="auto" w:fill="FFFFFF"/>
        </w:rPr>
        <w:t>第八批国采</w:t>
      </w:r>
      <w:r>
        <w:rPr>
          <w:rFonts w:hint="eastAsia" w:ascii="仿宋_GB2312" w:hAnsi="Times New Roman" w:eastAsia="仿宋_GB2312"/>
          <w:snapToGrid w:val="0"/>
          <w:kern w:val="0"/>
        </w:rPr>
        <w:t>中选药品、备供药品、第二备供药品货款纳入医保基金与医药企业直接结算范围。</w:t>
      </w:r>
    </w:p>
    <w:p>
      <w:pPr>
        <w:adjustRightInd w:val="0"/>
        <w:snapToGrid w:val="0"/>
        <w:spacing w:line="580" w:lineRule="exact"/>
        <w:ind w:firstLine="628" w:firstLineChars="200"/>
        <w:rPr>
          <w:rFonts w:hint="eastAsia" w:ascii="仿宋_GB2312"/>
          <w:snapToGrid w:val="0"/>
          <w:kern w:val="0"/>
        </w:rPr>
      </w:pPr>
      <w:r>
        <w:rPr>
          <w:rFonts w:hint="eastAsia" w:ascii="楷体_GB2312" w:eastAsia="楷体_GB2312"/>
          <w:snapToGrid w:val="0"/>
          <w:kern w:val="0"/>
        </w:rPr>
        <w:t>（七）做好与省集采中选结果衔接。</w:t>
      </w:r>
      <w:r>
        <w:rPr>
          <w:rFonts w:hint="eastAsia" w:ascii="仿宋_GB2312"/>
          <w:snapToGrid w:val="0"/>
          <w:kern w:val="0"/>
        </w:rPr>
        <w:t>山东省药品集中带量采购与</w:t>
      </w:r>
      <w:r>
        <w:rPr>
          <w:rFonts w:hint="eastAsia" w:ascii="仿宋_GB2312"/>
          <w:snapToGrid w:val="0"/>
          <w:color w:val="000000"/>
          <w:kern w:val="0"/>
          <w:shd w:val="clear" w:color="auto" w:fill="FFFFFF"/>
        </w:rPr>
        <w:t>第八批国采</w:t>
      </w:r>
      <w:r>
        <w:rPr>
          <w:rFonts w:hint="eastAsia" w:ascii="仿宋_GB2312"/>
          <w:snapToGrid w:val="0"/>
          <w:kern w:val="0"/>
        </w:rPr>
        <w:t>通用名、剂型重合的品种，不再标识省集采中选身份。同企业的省集采中选价格和</w:t>
      </w:r>
      <w:r>
        <w:rPr>
          <w:rFonts w:hint="eastAsia" w:ascii="仿宋_GB2312"/>
          <w:snapToGrid w:val="0"/>
          <w:color w:val="000000"/>
          <w:kern w:val="0"/>
          <w:shd w:val="clear" w:color="auto" w:fill="FFFFFF"/>
        </w:rPr>
        <w:t>第八批国采</w:t>
      </w:r>
      <w:r>
        <w:rPr>
          <w:rFonts w:hint="eastAsia" w:ascii="仿宋_GB2312"/>
          <w:snapToGrid w:val="0"/>
          <w:kern w:val="0"/>
        </w:rPr>
        <w:t>中选价格不一致的，按</w:t>
      </w:r>
      <w:r>
        <w:rPr>
          <w:rFonts w:hint="eastAsia" w:ascii="仿宋_GB2312"/>
          <w:snapToGrid w:val="0"/>
          <w:color w:val="000000"/>
          <w:kern w:val="0"/>
          <w:shd w:val="clear" w:color="auto" w:fill="FFFFFF"/>
        </w:rPr>
        <w:t>第八批国采</w:t>
      </w:r>
      <w:r>
        <w:rPr>
          <w:rFonts w:hint="eastAsia" w:ascii="仿宋_GB2312"/>
          <w:snapToGrid w:val="0"/>
          <w:kern w:val="0"/>
        </w:rPr>
        <w:t>中选价格执行，省集采中选但</w:t>
      </w:r>
      <w:r>
        <w:rPr>
          <w:rFonts w:hint="eastAsia" w:ascii="仿宋_GB2312"/>
          <w:snapToGrid w:val="0"/>
          <w:color w:val="000000"/>
          <w:kern w:val="0"/>
          <w:shd w:val="clear" w:color="auto" w:fill="FFFFFF"/>
        </w:rPr>
        <w:t>第八批国采</w:t>
      </w:r>
      <w:r>
        <w:rPr>
          <w:rFonts w:hint="eastAsia" w:ascii="仿宋_GB2312"/>
          <w:snapToGrid w:val="0"/>
          <w:kern w:val="0"/>
        </w:rPr>
        <w:t>未中选的，企业按规则自愿联动调整挂网价格，省集采第二评审组未通过一致性评价的，落实挂网撤网政策。考虑到低分子量肝素类药品目前市场占有率较高，作为急抢救用药在临床使用上应用较广泛，为平稳过渡，相关品种未过评药品暂不撤网，可按不高于我省肝素类药品中选价格挂网采购，鼓励优先使用中选药品。</w:t>
      </w:r>
    </w:p>
    <w:p>
      <w:pPr>
        <w:adjustRightInd w:val="0"/>
        <w:snapToGrid w:val="0"/>
        <w:spacing w:line="580" w:lineRule="exact"/>
        <w:ind w:firstLine="628" w:firstLineChars="200"/>
        <w:rPr>
          <w:rFonts w:hint="eastAsia" w:ascii="黑体" w:hAnsi="黑体" w:eastAsia="黑体"/>
          <w:snapToGrid w:val="0"/>
          <w:kern w:val="0"/>
        </w:rPr>
      </w:pPr>
      <w:r>
        <w:rPr>
          <w:rFonts w:hint="eastAsia" w:ascii="黑体" w:hAnsi="黑体" w:eastAsia="黑体"/>
          <w:snapToGrid w:val="0"/>
          <w:kern w:val="0"/>
        </w:rPr>
        <w:t>三、工作要求</w:t>
      </w:r>
    </w:p>
    <w:p>
      <w:pPr>
        <w:adjustRightInd w:val="0"/>
        <w:snapToGrid w:val="0"/>
        <w:spacing w:line="580" w:lineRule="exact"/>
        <w:ind w:firstLine="628" w:firstLineChars="200"/>
        <w:rPr>
          <w:rFonts w:hint="eastAsia" w:ascii="仿宋_GB2312"/>
          <w:snapToGrid w:val="0"/>
          <w:kern w:val="0"/>
        </w:rPr>
      </w:pPr>
      <w:r>
        <w:rPr>
          <w:rFonts w:hint="eastAsia" w:ascii="仿宋_GB2312"/>
          <w:snapToGrid w:val="0"/>
          <w:kern w:val="0"/>
        </w:rPr>
        <w:t>各相关部门要深刻认识药品集中带量采购和使用的重要意义，切实增强责任感、使命感，落实领导责任、保障责任、管理责任、监督责任，进一步完善政策措施，平稳推进集采结果落地实施。强化与相关部门协作配合，形成工作合力，把牢质量关，确保中选药品降价不降质，强化中选企业履约情况监测，确保取得实效。要加强宣传引导和政策解读，密切监测舆情，营造良好社会氛围，确保集采工作有序推进。执行中如遇重大问题，要及时向市医保局报告。</w:t>
      </w:r>
    </w:p>
    <w:p>
      <w:pPr>
        <w:pStyle w:val="14"/>
        <w:adjustRightInd w:val="0"/>
        <w:snapToGrid w:val="0"/>
        <w:spacing w:line="580" w:lineRule="exact"/>
        <w:ind w:firstLine="628" w:firstLineChars="200"/>
        <w:rPr>
          <w:rFonts w:hint="eastAsia" w:ascii="仿宋_GB2312" w:eastAsia="仿宋_GB2312"/>
          <w:snapToGrid w:val="0"/>
          <w:kern w:val="0"/>
        </w:rPr>
      </w:pPr>
    </w:p>
    <w:p>
      <w:pPr>
        <w:adjustRightInd w:val="0"/>
        <w:snapToGrid w:val="0"/>
        <w:spacing w:line="580" w:lineRule="exact"/>
        <w:ind w:firstLine="628" w:firstLineChars="200"/>
        <w:rPr>
          <w:rFonts w:hint="eastAsia" w:ascii="仿宋_GB2312"/>
          <w:snapToGrid w:val="0"/>
          <w:kern w:val="0"/>
        </w:rPr>
      </w:pPr>
      <w:r>
        <w:rPr>
          <w:rFonts w:hint="eastAsia" w:ascii="仿宋_GB2312"/>
          <w:snapToGrid w:val="0"/>
          <w:kern w:val="0"/>
        </w:rPr>
        <w:t>附件：1.全国药品集中采购（山东）中选产品供应清单</w:t>
      </w:r>
    </w:p>
    <w:p>
      <w:pPr>
        <w:pStyle w:val="14"/>
        <w:adjustRightInd w:val="0"/>
        <w:snapToGrid w:val="0"/>
        <w:spacing w:line="580" w:lineRule="exact"/>
        <w:ind w:firstLine="628" w:firstLineChars="200"/>
        <w:rPr>
          <w:rFonts w:hint="eastAsia" w:ascii="仿宋_GB2312" w:hAnsi="Times New Roman" w:eastAsia="仿宋_GB2312"/>
          <w:snapToGrid w:val="0"/>
          <w:kern w:val="0"/>
        </w:rPr>
      </w:pPr>
      <w:r>
        <w:rPr>
          <w:rFonts w:hint="eastAsia" w:ascii="仿宋_GB2312" w:hAnsi="Times New Roman" w:eastAsia="仿宋_GB2312"/>
          <w:snapToGrid w:val="0"/>
          <w:kern w:val="0"/>
        </w:rPr>
        <w:t xml:space="preserve">      2.全国药品集中采购（山东）备供产品供应清单</w:t>
      </w:r>
    </w:p>
    <w:p>
      <w:pPr>
        <w:pStyle w:val="14"/>
        <w:adjustRightInd w:val="0"/>
        <w:snapToGrid w:val="0"/>
        <w:spacing w:line="580" w:lineRule="exact"/>
        <w:ind w:firstLine="1567" w:firstLineChars="499"/>
        <w:rPr>
          <w:rFonts w:hint="eastAsia" w:ascii="仿宋_GB2312" w:hAnsi="Times New Roman" w:eastAsia="仿宋_GB2312"/>
          <w:snapToGrid w:val="0"/>
          <w:kern w:val="0"/>
        </w:rPr>
      </w:pPr>
      <w:r>
        <w:rPr>
          <w:rFonts w:hint="eastAsia" w:ascii="仿宋_GB2312" w:hAnsi="Times New Roman" w:eastAsia="仿宋_GB2312"/>
          <w:snapToGrid w:val="0"/>
          <w:kern w:val="0"/>
        </w:rPr>
        <w:t>3.全国药品集中采购（山东）第二备供产品供应清单</w:t>
      </w:r>
    </w:p>
    <w:p>
      <w:pPr>
        <w:rPr>
          <w:rFonts w:hint="eastAsia"/>
        </w:rPr>
      </w:pPr>
    </w:p>
    <w:p>
      <w:pPr>
        <w:adjustRightInd w:val="0"/>
        <w:snapToGrid w:val="0"/>
        <w:spacing w:line="460" w:lineRule="exact"/>
        <w:rPr>
          <w:rFonts w:hint="eastAsia" w:ascii="仿宋_GB2312" w:hAnsi="仿宋_GB2312" w:cs="仿宋_GB2312"/>
          <w:color w:val="000000"/>
        </w:rPr>
      </w:pPr>
    </w:p>
    <w:p>
      <w:pPr>
        <w:adjustRightInd w:val="0"/>
        <w:snapToGrid w:val="0"/>
        <w:spacing w:line="460" w:lineRule="exact"/>
        <w:rPr>
          <w:rFonts w:hint="eastAsia" w:ascii="仿宋_GB2312" w:hAnsi="仿宋_GB2312" w:cs="仿宋_GB2312"/>
          <w:color w:val="000000"/>
        </w:rPr>
      </w:pPr>
    </w:p>
    <w:p>
      <w:pPr>
        <w:adjustRightInd w:val="0"/>
        <w:snapToGrid w:val="0"/>
        <w:spacing w:line="460" w:lineRule="exact"/>
        <w:rPr>
          <w:rFonts w:hint="eastAsia" w:ascii="仿宋_GB2312" w:hAnsi="仿宋_GB2312" w:cs="仿宋_GB2312"/>
          <w:color w:val="000000"/>
        </w:rPr>
      </w:pPr>
    </w:p>
    <w:p>
      <w:pPr>
        <w:widowControl/>
        <w:tabs>
          <w:tab w:val="left" w:pos="7536"/>
        </w:tabs>
        <w:adjustRightInd w:val="0"/>
        <w:snapToGrid w:val="0"/>
        <w:spacing w:line="460" w:lineRule="exact"/>
        <w:ind w:firstLine="5391" w:firstLineChars="1717"/>
        <w:rPr>
          <w:rFonts w:hint="eastAsia" w:ascii="仿宋_GB2312" w:hAnsi="等线" w:cs="宋体"/>
          <w:color w:val="000000"/>
          <w:kern w:val="0"/>
        </w:rPr>
      </w:pPr>
      <w:r>
        <w:rPr>
          <w:rFonts w:hint="eastAsia" w:ascii="仿宋_GB2312" w:hAnsi="等线" w:cs="宋体"/>
          <w:color w:val="000000"/>
          <w:kern w:val="0"/>
        </w:rPr>
        <w:t xml:space="preserve">济南市医疗保障局 </w:t>
      </w:r>
    </w:p>
    <w:p>
      <w:pPr>
        <w:widowControl/>
        <w:tabs>
          <w:tab w:val="left" w:pos="7536"/>
        </w:tabs>
        <w:adjustRightInd w:val="0"/>
        <w:snapToGrid w:val="0"/>
        <w:spacing w:line="460" w:lineRule="exact"/>
        <w:ind w:firstLine="5417" w:firstLineChars="1725"/>
        <w:rPr>
          <w:rFonts w:hint="eastAsia" w:ascii="仿宋_GB2312" w:hAnsi="等线" w:cs="宋体"/>
          <w:color w:val="000000"/>
          <w:kern w:val="0"/>
        </w:rPr>
      </w:pPr>
      <w:r>
        <w:rPr>
          <w:rFonts w:hint="eastAsia" w:ascii="仿宋_GB2312" w:hAnsi="等线" w:cs="宋体"/>
          <w:color w:val="000000"/>
          <w:kern w:val="0"/>
        </w:rPr>
        <w:t>2023年6月26日</w:t>
      </w:r>
    </w:p>
    <w:p>
      <w:pPr>
        <w:adjustRightInd w:val="0"/>
        <w:snapToGrid w:val="0"/>
        <w:spacing w:line="440" w:lineRule="exact"/>
        <w:rPr>
          <w:rFonts w:hint="eastAsia" w:ascii="仿宋_GB2312" w:hAnsi="仿宋_GB2312" w:cs="仿宋_GB2312"/>
          <w:color w:val="000000"/>
        </w:rPr>
      </w:pPr>
    </w:p>
    <w:p>
      <w:pPr>
        <w:pStyle w:val="14"/>
        <w:adjustRightInd w:val="0"/>
        <w:snapToGrid w:val="0"/>
        <w:spacing w:line="440" w:lineRule="exact"/>
        <w:ind w:firstLine="628"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（此件主动公开）</w:t>
      </w:r>
    </w:p>
    <w:p>
      <w:pPr>
        <w:pStyle w:val="14"/>
        <w:adjustRightInd w:val="0"/>
        <w:snapToGrid w:val="0"/>
        <w:spacing w:line="580" w:lineRule="exact"/>
        <w:ind w:firstLine="628" w:firstLineChars="200"/>
        <w:rPr>
          <w:rFonts w:hint="eastAsia" w:ascii="Times New Roman" w:hAnsi="Times New Roman" w:eastAsia="仿宋_GB2312"/>
          <w:color w:val="000000"/>
        </w:rPr>
      </w:pPr>
    </w:p>
    <w:p>
      <w:pPr>
        <w:adjustRightInd w:val="0"/>
        <w:snapToGrid w:val="0"/>
        <w:spacing w:line="660" w:lineRule="exact"/>
        <w:jc w:val="center"/>
        <w:rPr>
          <w:rFonts w:ascii="方正小标宋简体" w:hAnsi="华文中宋" w:eastAsia="方正小标宋简体"/>
          <w:color w:val="000000"/>
          <w:sz w:val="44"/>
          <w:szCs w:val="44"/>
        </w:rPr>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pPr>
    </w:p>
    <w:p>
      <w:pPr>
        <w:adjustRightInd w:val="0"/>
        <w:snapToGrid w:val="0"/>
        <w:jc w:val="left"/>
        <w:rPr>
          <w:rFonts w:hint="eastAsia" w:ascii="黑体" w:hAnsi="黑体" w:eastAsia="黑体"/>
          <w:color w:val="000000"/>
        </w:rPr>
      </w:pPr>
      <w:r>
        <w:rPr>
          <w:rFonts w:hint="eastAsia" w:ascii="黑体" w:hAnsi="黑体" w:eastAsia="黑体"/>
          <w:color w:val="000000"/>
        </w:rPr>
        <w:t>附件1</w:t>
      </w:r>
    </w:p>
    <w:p>
      <w:pPr>
        <w:adjustRightInd w:val="0"/>
        <w:snapToGrid w:val="0"/>
        <w:spacing w:line="66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全国药品集中采购（山东）中选产品供应清单</w:t>
      </w:r>
    </w:p>
    <w:tbl>
      <w:tblPr>
        <w:tblStyle w:val="17"/>
        <w:tblW w:w="1400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28" w:type="dxa"/>
          <w:bottom w:w="0" w:type="dxa"/>
          <w:right w:w="28" w:type="dxa"/>
        </w:tblCellMar>
      </w:tblPr>
      <w:tblGrid>
        <w:gridCol w:w="430"/>
        <w:gridCol w:w="2436"/>
        <w:gridCol w:w="926"/>
        <w:gridCol w:w="3297"/>
        <w:gridCol w:w="676"/>
        <w:gridCol w:w="5473"/>
        <w:gridCol w:w="76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tblHeader/>
          <w:jc w:val="center"/>
        </w:trPr>
        <w:tc>
          <w:tcPr>
            <w:tcW w:w="430"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序号</w:t>
            </w:r>
          </w:p>
        </w:tc>
        <w:tc>
          <w:tcPr>
            <w:tcW w:w="2436"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通用名</w:t>
            </w:r>
          </w:p>
        </w:tc>
        <w:tc>
          <w:tcPr>
            <w:tcW w:w="926"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剂型</w:t>
            </w:r>
          </w:p>
        </w:tc>
        <w:tc>
          <w:tcPr>
            <w:tcW w:w="3297"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规格包装</w:t>
            </w:r>
          </w:p>
        </w:tc>
        <w:tc>
          <w:tcPr>
            <w:tcW w:w="676"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计价</w:t>
            </w:r>
          </w:p>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单位</w:t>
            </w:r>
          </w:p>
        </w:tc>
        <w:tc>
          <w:tcPr>
            <w:tcW w:w="5473"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中选企业</w:t>
            </w:r>
          </w:p>
        </w:tc>
        <w:tc>
          <w:tcPr>
            <w:tcW w:w="767" w:type="dxa"/>
            <w:noWrap w:val="0"/>
            <w:vAlign w:val="center"/>
          </w:tcPr>
          <w:p>
            <w:pPr>
              <w:widowControl/>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中选价格</w:t>
            </w:r>
            <w:r>
              <w:rPr>
                <w:rFonts w:hint="eastAsia" w:ascii="黑体" w:hAnsi="黑体" w:eastAsia="黑体" w:cs="宋体"/>
                <w:bCs/>
                <w:color w:val="000000"/>
                <w:kern w:val="0"/>
                <w:sz w:val="18"/>
                <w:szCs w:val="18"/>
              </w:rPr>
              <w:br w:type="textWrapping"/>
            </w:r>
            <w:r>
              <w:rPr>
                <w:rFonts w:hint="eastAsia" w:ascii="黑体" w:hAnsi="黑体" w:eastAsia="黑体" w:cs="宋体"/>
                <w:bCs/>
                <w:color w:val="000000"/>
                <w:kern w:val="0"/>
                <w:sz w:val="18"/>
                <w:szCs w:val="18"/>
              </w:rPr>
              <w:t>（元）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阿加曲班注射液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2ml:10mg*2支/盒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博瑞制药（苏州）有限公司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15.54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醋酸阿托西班注射液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5ml:37.5mg*1瓶/盒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南京康舟医药科技有限公司（南京海纳制药有限公司受托生产）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79.90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醋酸阿托西班注射液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0.9ml:6.75mg*1瓶/盒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南京康舟医药科技有限公司（南京海纳制药有限公司受托生产）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21.49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★氨甲环酸注射液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2.5ml:0.25g*5支/盒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知和（山东）大药厂有限公司（成都市海通药业有限公司受托生产）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▲氨氯地平阿托伐他汀钙片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5mg/10mg(以氨氯地平/阿托伐他汀计)*7片/板x2板/盒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南京正大天晴制药有限公司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36.67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丙氨酰谷氨酰胺注射液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50ml:10g*60瓶/箱</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四川科伦药业股份有限公司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411.60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丙氨酰谷氨酰胺注射液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100ml:20g*60瓶/箱</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四川科伦药业股份有限公司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699.6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丙戊酸钠注射用浓溶液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3ml:0.3g*5支/盒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海南倍特药业有限公司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19.00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非洛地平缓释片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5mg*20片/盒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上海安必生制药技术有限公司（天津天士力圣特制药有限公司受托生产）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呋塞米注射液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2ml:20mg*10支/盒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河南润弘制药股份有限公司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9</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▲0.25μg*10粒/板×2板/袋×1袋/盒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四川国为制药有限公司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甲钴胺注射液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1ml:0.5mg*6支/盒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辰欣药业股份有限公司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磷酸奥司他韦干混悬剂</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口服混悬剂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0.36g*1瓶/盒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齐鲁制药（海南）有限公司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▲氯沙坦钾氢氯噻嗪片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氯沙坦钾100mg和氢氯噻嗪25mg*12片/板x2板/袋x1袋/盒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浙江诺得药业有限公司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▲氯沙坦钾氢氯噻嗪片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氯沙坦钾100mg和氢氯噻嗪12.5mg*12片/板x2板/袋x1袋/盒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浙江诺得药业有限公司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13</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米氮平片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30mg*10片/板，1板/盒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华裕（无锡）制药有限公司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14</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那屈肝素钙注射液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0.6ml:6150AXaIU（预灌封）*10支/盒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烟台东诚北方制药有限公司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156.80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注射用生长抑素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3mg*2瓶/盒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成都圣诺生物制药有限公司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16</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酮咯酸氨丁三醇注射液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1ml:30mg*10支/盒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德全药品（江苏）股份有限公司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酮咯酸氨丁三醇注射液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2ml:60mg*10支/盒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德全药品（江苏）股份有限公司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41.9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酮咯酸氨丁三醇注射液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1ml:15mg*10支/盒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德全药品（江苏）股份有限公司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17</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托拉塞米注射液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2ml:10mg*6支/盒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吉林天成制药有限公司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18</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熊去氧胆酸胶囊</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0.25g*12粒/板x2板/盒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安士制药（中山）有限公司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19</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盐酸奥普力农注射液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5ml:5mg*5支/盒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沈阳双鼎制药有限公司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178.75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20</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依诺肝素钠注射液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0.4ml:4000AXaIU（预灌封）*10支/盒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南京健友生化制药股份有限公司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123.50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依诺肝素钠注射液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0.6ml:6000AXaIU（预灌封）*10支/盒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南京健友生化制药股份有限公司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21</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苯磺酸左氨氯地平片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2.5mg*每板14片，每盒2板</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扬子江药业集团上海海尼药业有限公司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22</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盐酸左布比卡因注射液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10ml:75mg*5支/盒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江苏恒瑞医药股份有限公司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23</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左卡尼汀注射液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5ml:1g*5支/盒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云南龙海天然植物药业有限公司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36.50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左卡尼汀注射液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5ml:2g*5支/盒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云南龙海天然植物药业有限公司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62.05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▲阿莫西林克拉维酸钾片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0.375g(2:1)*5片/板，3板/盒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鲁南贝特制药有限公司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26</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注射用阿莫西林钠克拉维酸钾</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0.6g(5:1)*8支/盒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海南卫康制药（潜山）有限公司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40.88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注射用阿莫西林钠克拉维酸钾</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1.2g(5:1)*10支/盒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海南卫康制药（潜山）有限公司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注射用阿莫西林钠克拉维酸钾</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0.3g(5:1)*8支/盒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海南卫康制药（潜山）有限公司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27</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注射用氨曲南</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福安药业集团庆余堂制药有限公司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214.80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69"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注射用氨曲南</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福安药业集团庆余堂制药有限公司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28</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★奥硝唑注射液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3ml:0.5g*5支/盒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山东达冠医药科技有限公司（河北凯威制药有限责任公司受托生产）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★奥硝唑注射液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6ml:1g*5支/盒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山东达冠医药科技有限公司（河北凯威制药有限责任公司受托生产）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29</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复方磺胺甲</w:t>
            </w:r>
            <w:r>
              <w:rPr>
                <w:rFonts w:hint="eastAsia" w:ascii="方正宋三_GBK" w:hAnsi="宋体" w:eastAsia="宋体" w:cs="宋体"/>
                <w:color w:val="000000"/>
                <w:kern w:val="0"/>
                <w:sz w:val="18"/>
                <w:szCs w:val="18"/>
              </w:rPr>
              <w:t>噁</w:t>
            </w:r>
            <w:r>
              <w:rPr>
                <w:rFonts w:hint="eastAsia" w:ascii="方正宋三_GBK" w:hAnsi="宋体" w:eastAsia="方正宋三_GBK" w:cs="宋体"/>
                <w:color w:val="000000"/>
                <w:kern w:val="0"/>
                <w:sz w:val="18"/>
                <w:szCs w:val="18"/>
              </w:rPr>
              <w:t>唑片</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spacing w:val="-12"/>
                <w:kern w:val="0"/>
                <w:sz w:val="18"/>
                <w:szCs w:val="18"/>
              </w:rPr>
            </w:pPr>
            <w:r>
              <w:rPr>
                <w:rFonts w:hint="eastAsia" w:ascii="方正宋三_GBK" w:hAnsi="宋体" w:eastAsia="方正宋三_GBK" w:cs="宋体"/>
                <w:color w:val="000000"/>
                <w:spacing w:val="-12"/>
                <w:kern w:val="0"/>
                <w:sz w:val="18"/>
                <w:szCs w:val="18"/>
              </w:rPr>
              <w:t>磺胺甲</w:t>
            </w:r>
            <w:r>
              <w:rPr>
                <w:rFonts w:hint="eastAsia" w:ascii="方正宋三_GBK" w:hAnsi="宋体" w:eastAsia="宋体" w:cs="宋体"/>
                <w:color w:val="000000"/>
                <w:spacing w:val="-12"/>
                <w:kern w:val="0"/>
                <w:sz w:val="18"/>
                <w:szCs w:val="18"/>
              </w:rPr>
              <w:t>噁</w:t>
            </w:r>
            <w:r>
              <w:rPr>
                <w:rFonts w:hint="eastAsia" w:ascii="方正宋三_GBK" w:hAnsi="宋体" w:eastAsia="方正宋三_GBK" w:cs="宋体"/>
                <w:color w:val="000000"/>
                <w:spacing w:val="-12"/>
                <w:kern w:val="0"/>
                <w:sz w:val="18"/>
                <w:szCs w:val="18"/>
              </w:rPr>
              <w:t>唑400mg，甲氧苄啶80mg*100片/瓶</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瓶</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山东新华制药股份有限公司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30</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★甲硝唑氯化钠注射液</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（以甲硝唑计）含甲硝唑0.5g*120瓶/箱</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辰欣药业股份有限公司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495.60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31</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利福平胶囊</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0.15g*100粒/瓶</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瓶</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江苏悦兴医药技术有限公司（江苏悦兴药业有限公司受托生产）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32</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头孢地尼颗粒</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颗粒剂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50mg*12袋/盒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成都倍特药业股份有限公司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73.68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33</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★注射用头孢西丁钠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山东罗欣药业集团股份有限公司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★注射用头孢西丁钠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山东罗欣药业集团股份有限公司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34</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注射用头孢地嗪钠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浙江永宁药业股份有限公司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39.20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注射用头孢地嗪钠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浙江永宁药业股份有限公司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35</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注射用比阿培南</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0.3g*1瓶/盒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正大天晴药业集团股份有限公司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36</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注射用达托霉素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海南普利制药股份有限公司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141.78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37</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注射用伏立康唑</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0.2g*1瓶/盒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四川美大康华康药业有限公司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34.70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38</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注射用哌拉西林钠他唑巴坦钠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4.5g（哌拉西林4.0g与他唑巴坦0.5g）*5支/盒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山东安信制药有限公司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129.00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注射用哌拉西林钠他唑巴坦钠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2.25g（哌拉西林2.0g与他唑巴坦0.25g）*5支/盒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山东安信制药有限公司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75.85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39</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▲注射用头孢哌酮钠舒巴坦钠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1g(1:1)*10瓶/盒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苏州东瑞制药有限公司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32.90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▲注射用头孢哌酮钠舒巴坦钠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1g(1:1)*10瓶/盒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苏州东瑞制药有限公司（华北制药河北华民药业有限责任公司受托生产）</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restart"/>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40</w:t>
            </w: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注射用头孢噻肟钠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山东鲁抗医药股份有限公司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16.50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注射用头孢噻肟钠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山东鲁抗医药股份有限公司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430" w:type="dxa"/>
            <w:vMerge w:val="continue"/>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p>
        </w:tc>
        <w:tc>
          <w:tcPr>
            <w:tcW w:w="243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注射用头孢噻肟钠</w:t>
            </w:r>
          </w:p>
        </w:tc>
        <w:tc>
          <w:tcPr>
            <w:tcW w:w="92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329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2g*10支/盒</w:t>
            </w:r>
          </w:p>
        </w:tc>
        <w:tc>
          <w:tcPr>
            <w:tcW w:w="676"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473"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山东鲁抗医药股份有限公司</w:t>
            </w:r>
          </w:p>
        </w:tc>
        <w:tc>
          <w:tcPr>
            <w:tcW w:w="767" w:type="dxa"/>
            <w:noWrap w:val="0"/>
            <w:vAlign w:val="center"/>
          </w:tcPr>
          <w:p>
            <w:pPr>
              <w:widowControl/>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28</w:t>
            </w:r>
          </w:p>
        </w:tc>
      </w:tr>
    </w:tbl>
    <w:p>
      <w:pPr>
        <w:adjustRightInd w:val="0"/>
        <w:snapToGrid w:val="0"/>
        <w:spacing w:line="580" w:lineRule="exact"/>
        <w:ind w:firstLine="628" w:firstLineChars="200"/>
        <w:rPr>
          <w:rFonts w:hint="eastAsia" w:ascii="Calibri" w:hAnsi="Calibri" w:eastAsia="宋体"/>
          <w:snapToGrid w:val="0"/>
          <w:color w:val="000000"/>
          <w:kern w:val="0"/>
        </w:rPr>
      </w:pPr>
    </w:p>
    <w:p>
      <w:pPr>
        <w:adjustRightInd w:val="0"/>
        <w:snapToGrid w:val="0"/>
        <w:spacing w:line="570" w:lineRule="exact"/>
        <w:ind w:firstLine="596" w:firstLineChars="200"/>
        <w:rPr>
          <w:rFonts w:hint="eastAsia" w:ascii="仿宋_GB2312" w:hAnsi="仿宋_GB2312" w:cs="仿宋_GB2312"/>
          <w:color w:val="000000"/>
          <w:spacing w:val="-8"/>
        </w:rPr>
      </w:pPr>
    </w:p>
    <w:p>
      <w:pPr>
        <w:adjustRightInd w:val="0"/>
        <w:snapToGrid w:val="0"/>
        <w:jc w:val="left"/>
        <w:rPr>
          <w:rFonts w:hint="eastAsia" w:ascii="黑体" w:hAnsi="黑体" w:eastAsia="黑体" w:cs="仿宋_GB2312"/>
          <w:color w:val="000000"/>
        </w:rPr>
      </w:pPr>
      <w:r>
        <w:rPr>
          <w:rFonts w:hint="eastAsia" w:ascii="黑体" w:hAnsi="黑体" w:eastAsia="黑体" w:cs="仿宋_GB2312"/>
          <w:color w:val="000000"/>
        </w:rPr>
        <w:t>附件2</w:t>
      </w:r>
    </w:p>
    <w:p>
      <w:pPr>
        <w:widowControl/>
        <w:adjustRightInd w:val="0"/>
        <w:snapToGrid w:val="0"/>
        <w:spacing w:line="66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全国药品集中采购（山东）备供产品供应清单</w:t>
      </w:r>
    </w:p>
    <w:tbl>
      <w:tblPr>
        <w:tblStyle w:val="17"/>
        <w:tblW w:w="1400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28" w:type="dxa"/>
          <w:bottom w:w="0" w:type="dxa"/>
          <w:right w:w="28" w:type="dxa"/>
        </w:tblCellMar>
      </w:tblPr>
      <w:tblGrid>
        <w:gridCol w:w="917"/>
        <w:gridCol w:w="2327"/>
        <w:gridCol w:w="994"/>
        <w:gridCol w:w="2351"/>
        <w:gridCol w:w="1050"/>
        <w:gridCol w:w="5711"/>
        <w:gridCol w:w="65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tblHeader/>
          <w:jc w:val="center"/>
        </w:trPr>
        <w:tc>
          <w:tcPr>
            <w:tcW w:w="917"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序号</w:t>
            </w:r>
          </w:p>
        </w:tc>
        <w:tc>
          <w:tcPr>
            <w:tcW w:w="2327"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通用名</w:t>
            </w:r>
          </w:p>
        </w:tc>
        <w:tc>
          <w:tcPr>
            <w:tcW w:w="994"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剂型</w:t>
            </w:r>
          </w:p>
        </w:tc>
        <w:tc>
          <w:tcPr>
            <w:tcW w:w="2351"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规格包装</w:t>
            </w:r>
          </w:p>
        </w:tc>
        <w:tc>
          <w:tcPr>
            <w:tcW w:w="1050"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计价</w:t>
            </w:r>
          </w:p>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单位</w:t>
            </w:r>
          </w:p>
        </w:tc>
        <w:tc>
          <w:tcPr>
            <w:tcW w:w="5711"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备供企业</w:t>
            </w:r>
          </w:p>
        </w:tc>
        <w:tc>
          <w:tcPr>
            <w:tcW w:w="655" w:type="dxa"/>
            <w:noWrap w:val="0"/>
            <w:vAlign w:val="center"/>
          </w:tcPr>
          <w:p>
            <w:pPr>
              <w:adjustRightInd w:val="0"/>
              <w:snapToGrid w:val="0"/>
              <w:jc w:val="center"/>
              <w:rPr>
                <w:rFonts w:hint="eastAsia" w:ascii="黑体" w:hAnsi="黑体" w:eastAsia="黑体" w:cs="宋体"/>
                <w:bCs/>
                <w:color w:val="000000"/>
                <w:kern w:val="0"/>
                <w:sz w:val="18"/>
                <w:szCs w:val="18"/>
              </w:rPr>
            </w:pPr>
            <w:r>
              <w:rPr>
                <w:rFonts w:hint="eastAsia" w:ascii="黑体" w:hAnsi="黑体" w:eastAsia="黑体" w:cs="宋体"/>
                <w:bCs/>
                <w:color w:val="000000"/>
                <w:kern w:val="0"/>
                <w:sz w:val="18"/>
                <w:szCs w:val="18"/>
              </w:rPr>
              <w:t>价格</w:t>
            </w:r>
            <w:r>
              <w:rPr>
                <w:rFonts w:hint="eastAsia" w:ascii="黑体" w:hAnsi="黑体" w:eastAsia="黑体" w:cs="宋体"/>
                <w:bCs/>
                <w:color w:val="000000"/>
                <w:kern w:val="0"/>
                <w:sz w:val="18"/>
                <w:szCs w:val="18"/>
              </w:rPr>
              <w:br w:type="textWrapping"/>
            </w:r>
            <w:r>
              <w:rPr>
                <w:rFonts w:hint="eastAsia" w:ascii="黑体" w:hAnsi="黑体" w:eastAsia="黑体" w:cs="宋体"/>
                <w:bCs/>
                <w:color w:val="000000"/>
                <w:kern w:val="0"/>
                <w:sz w:val="18"/>
                <w:szCs w:val="18"/>
              </w:rPr>
              <w:t>（元）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阿加曲班注射液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2ml:10mg*6支/盒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湖南赛隆药业有限公司（湖南赛隆药业（长沙）有限公司受托生产）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醋酸阿托西班注射液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0.9ml:6.75mg*4瓶/盒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成都圣诺生物制药有限公司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84.80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醋酸阿托西班注射液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5ml:37.5mg*1瓶/盒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成都圣诺生物制药有限公司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78.78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★氨甲环酸注射液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5ml:0.25g*5支/盒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湖南赛隆药业有限公司（湖南赛隆药业（长沙）有限公司受托生产）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★氨甲环酸注射液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5ml:0.5g*5支/盒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湖南赛隆药业有限公司（湖南赛隆药业（长沙）有限公司受托生产）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13.40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▲氨氯地平阿托伐他汀钙片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5mg/10mg(以氨氯地平/阿托伐他汀计)*14片/板，1板/盒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福建海西新药创制股份有限公司（宁波美诺华天康药业有限公司受托生产）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35.76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丙氨酰谷氨酰胺注射液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50ml:10g*50ml/袋x60袋/箱</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北京百美特生物制药有限公司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766.20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丙氨酰谷氨酰胺注射液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100ml:20g*100ml/袋x60袋/箱</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北京百美特生物制药有限公司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1302.00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丙戊酸钠注射用浓溶液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3ml:0.3g*5支/盒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江西青峰药业有限公司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46.75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丙戊酸钠注射用浓溶液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10ml:1g*5支/盒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江西青峰药业有限公司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117.50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非洛地平缓释片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5mg*10片/板x3板/盒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南京易亨制药有限公司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呋塞米注射液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2ml:20mg*10支/盒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天津金耀集团湖北天药药业股份有限公司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9</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▲0.25μg*10粒/板，1板/盒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正大制药（青岛）有限公司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▲0.25μg*10粒/板，2板/盒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正大制药（青岛）有限公司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10.16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▲0.25μg*10粒/板，4板/盒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正大制药（青岛）有限公司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19.81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0.5μg*10粒/板，1板/盒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正大制药（青岛）有限公司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8.86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骨化三醇软胶囊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0.5μg*10粒/板，2板/盒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正大制药（青岛）有限公司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17.27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甲钴胺注射液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1ml:0.5mg*10支/盒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亚宝药业集团股份有限公司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13.70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磷酸奥司他韦干混悬剂</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口服混悬剂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0.36g*1瓶/盒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苏州二叶制药有限公司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32.90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▲氯沙坦钾氢氯噻嗪片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氯沙坦钾50mg和氢氯噻嗪12.5mg*7片/板×4板/盒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乐普药业科技有限公司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▲氯沙坦钾氢氯噻嗪片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氯沙坦钾100mg和氢氯噻嗪25mg*7片/板x2板/盒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乐普药业科技有限公司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3.89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▲氯沙坦钾氢氯噻嗪片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氯沙坦钾100mg和氢氯噻嗪25mg*7片/板x4板/盒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乐普药业科技有限公司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7.58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13</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米氮平片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15mg*2×14片/盒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Aurobindo Pharma Limited</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34.46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米氮平片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30mg*2×14片/盒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Aurobindo Pharma Limited</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58.58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14</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那屈肝素钙注射液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0.4ml:4100AXaIU（预灌封）*2支/盒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兆科药业（合肥）有限公司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那屈肝素钙注射液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0.6ml:6150AXaIU（预灌封）*2支/盒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兆科药业（合肥）有限公司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33.34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注射用生长抑素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上海华源药业（宁夏）沙赛制药有限公司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63.90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16</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酮咯酸氨丁三醇注射液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1ml:30mg*10支/盒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山东新时代药业有限公司（山东华鲁制药有限公司受托生产）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17</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托拉塞米注射液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2ml:10mg*5支/盒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广州一品红制药有限公司（四川美大康佳乐药业有限公司受托生产）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18</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熊去氧胆酸片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0.25g*12片/板x2板/盒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武汉普元药业有限责任公司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73.21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19</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盐酸奥普力农注射液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5ml:5mg*5支/盒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吉林四长制药有限公司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163.50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20</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依诺肝素钠注射液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0.6ml:6000AXaIU（西林瓶/安瓿瓶）*5支/盒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天津红日药业股份有限公司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81.35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依诺肝素钠注射液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0.4ml:4000AXaIU（西林瓶/安瓿瓶）*5支/盒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天津红日药业股份有限公司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59.60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21</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苯磺酸左氨氯地平片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2.5mg*3*10片/板/盒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17.55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苯磺酸左氨氯地平片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5mg*3*10片/板/盒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29.84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22</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盐酸左布比卡因注射液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5ml:37.5mg*10支/盒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瑞阳制药股份有限公司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64.80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盐酸左布比卡因注射液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10ml:50mg*10支/盒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瑞阳制药股份有限公司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80.70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23</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左卡尼汀注射液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5ml:1g*5支/盒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山东玉满坤生物科技有限公司（江苏九旭药业有限公司受托生产）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42.75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左卡尼汀注射液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5ml:2g*5支/盒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山东玉满坤生物科技有限公司（江苏九旭药业有限公司受托生产）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72.65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25</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▲阿莫西林克拉维酸钾片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0.375g(2:1)*3片/板*2板/盒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瑞阳制药股份有限公司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▲阿莫西林克拉维酸钾片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0.375g(2:1)*6片/板*2板/盒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瑞阳制药股份有限公司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6.44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26</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注射用阿莫西林钠克拉维酸钾</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1.2g(5:1)*每盒6瓶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华北制药集团先泰药业有限公司（华北制药股份有限公司受托生产）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69.78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注射用阿莫西林钠克拉维酸钾</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0.6g(5:1)*每盒10瓶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华北制药集团先泰药业有限公司（华北制药股份有限公司受托生产）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68.40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27</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注射用氨曲南</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深圳华药南方制药有限公司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203.30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注射用氨曲南</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深圳华药南方制药有限公司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119.50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28</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★奥硝唑注射液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3ml:0.5g*5支/盒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四川科伦药业股份有限公司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★奥硝唑注射液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6ml:1g*5支/盒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四川科伦药业股份有限公司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10.45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29</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复方磺胺甲</w:t>
            </w:r>
            <w:r>
              <w:rPr>
                <w:rFonts w:hint="eastAsia" w:ascii="方正宋三_GBK" w:hAnsi="宋体" w:eastAsia="宋体" w:cs="宋体"/>
                <w:color w:val="000000"/>
                <w:kern w:val="0"/>
                <w:sz w:val="18"/>
                <w:szCs w:val="18"/>
              </w:rPr>
              <w:t>噁</w:t>
            </w:r>
            <w:r>
              <w:rPr>
                <w:rFonts w:hint="eastAsia" w:ascii="方正宋三_GBK" w:hAnsi="宋体" w:eastAsia="方正宋三_GBK" w:cs="宋体"/>
                <w:color w:val="000000"/>
                <w:kern w:val="0"/>
                <w:sz w:val="18"/>
                <w:szCs w:val="18"/>
              </w:rPr>
              <w:t>唑片</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片剂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磺胺甲</w:t>
            </w:r>
            <w:r>
              <w:rPr>
                <w:rFonts w:hint="eastAsia" w:ascii="方正宋三_GBK" w:hAnsi="宋体" w:eastAsia="宋体" w:cs="宋体"/>
                <w:color w:val="000000"/>
                <w:kern w:val="0"/>
                <w:sz w:val="18"/>
                <w:szCs w:val="18"/>
              </w:rPr>
              <w:t>噁</w:t>
            </w:r>
            <w:r>
              <w:rPr>
                <w:rFonts w:hint="eastAsia" w:ascii="方正宋三_GBK" w:hAnsi="宋体" w:eastAsia="方正宋三_GBK" w:cs="宋体"/>
                <w:color w:val="000000"/>
                <w:kern w:val="0"/>
                <w:sz w:val="18"/>
                <w:szCs w:val="18"/>
              </w:rPr>
              <w:t>唑400mg，甲氧苄啶80mg*100片/瓶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瓶</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宜昌人福药业有限责任公司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24.65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30</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★甲硝唑氯化钠注射液</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（以甲硝唑计）含甲硝唑0.5g*80袋/箱</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箱</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杭州民生药业股份有限公司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405.60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31</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利福平胶囊</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胶囊剂</w:t>
            </w:r>
          </w:p>
        </w:tc>
        <w:tc>
          <w:tcPr>
            <w:tcW w:w="2351" w:type="dxa"/>
            <w:noWrap w:val="0"/>
            <w:vAlign w:val="center"/>
          </w:tcPr>
          <w:p>
            <w:pPr>
              <w:adjustRightInd w:val="0"/>
              <w:snapToGrid w:val="0"/>
              <w:jc w:val="center"/>
              <w:rPr>
                <w:rFonts w:hint="eastAsia" w:ascii="方正宋三_GBK" w:hAnsi="宋体" w:eastAsia="方正宋三_GBK" w:cs="宋体"/>
                <w:color w:val="000000"/>
                <w:spacing w:val="-8"/>
                <w:kern w:val="0"/>
                <w:sz w:val="18"/>
                <w:szCs w:val="18"/>
              </w:rPr>
            </w:pPr>
            <w:r>
              <w:rPr>
                <w:rFonts w:hint="eastAsia" w:ascii="方正宋三_GBK" w:hAnsi="宋体" w:eastAsia="方正宋三_GBK" w:cs="宋体"/>
                <w:color w:val="000000"/>
                <w:spacing w:val="-8"/>
                <w:kern w:val="0"/>
                <w:sz w:val="18"/>
                <w:szCs w:val="18"/>
              </w:rPr>
              <w:t>0.15g*10粒/板x3板/袋x1袋/盒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浙江苏可安药业有限公司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8.33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32</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头孢地尼颗粒</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颗粒剂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50mg*12袋/盒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山东海山药业有限公司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72.83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头孢地尼颗粒</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颗粒剂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50mg*10袋/盒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山东海山药业有限公司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60.69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头孢地尼颗粒</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颗粒剂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50mg*16袋/盒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山东海山药业有限公司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97.11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33</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★注射用头孢西丁钠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国药集团致君（深圳）制药有限公司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★注射用头孢西丁钠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国药集团致君（深圳）制药有限公司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27.00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34</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注射用头孢地嗪钠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丽珠集团丽珠制药厂（华北制药河北华民药业有限责任公司受托生产）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28.90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注射用头孢地嗪钠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丽珠集团丽珠制药厂（华北制药河北华民药业有限责任公司受托生产）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49.10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35</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注射用比阿培南</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0.3g*10瓶/盒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齐鲁安替制药有限公司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200.00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36</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注射用达托霉素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0.5g*1瓶/盒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齐鲁制药（海南）有限公司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112.00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37</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注射用伏立康唑</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0.2g*10瓶/盒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武汉启瑞药业有限公司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400.60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38</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注射用哌拉西林钠他唑巴坦钠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2.25g（哌拉西林2.0g与他唑巴坦0.25g）*每盒10瓶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华北制药集团先泰药业有限公司（华北制药股份有限公司受托生产）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156.30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注射用哌拉西林钠他唑巴坦钠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1.125g（哌拉西林1.0g与他唑巴坦0.125g）*每盒10瓶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华北制药集团先泰药业有限公司（华北制药股份有限公司受托生产）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91.90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注射用哌拉西林钠他唑巴坦钠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4.5g（哌拉西林4.0g与他唑巴坦0.5g）*每盒10瓶</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华北制药集团先泰药业有限公司（华北制药股份有限公司受托生产）</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265.70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restart"/>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39</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▲注射用头孢哌酮钠舒巴坦钠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1g(1:1)*10瓶/盒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山东润泽制药有限公司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36.70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vMerge w:val="continue"/>
            <w:noWrap w:val="0"/>
            <w:vAlign w:val="center"/>
          </w:tcPr>
          <w:p>
            <w:pPr>
              <w:adjustRightInd w:val="0"/>
              <w:snapToGrid w:val="0"/>
              <w:jc w:val="center"/>
              <w:rPr>
                <w:rFonts w:hint="eastAsia" w:ascii="方正宋三_GBK" w:hAnsi="宋体" w:eastAsia="方正宋三_GBK" w:cs="宋体"/>
                <w:color w:val="000000"/>
                <w:kern w:val="0"/>
                <w:sz w:val="18"/>
                <w:szCs w:val="18"/>
              </w:rPr>
            </w:pP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▲注射用头孢哌酮钠舒巴坦钠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2g(1:1)*10瓶/盒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山东润泽制药有限公司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 xml:space="preserve">62.30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91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40</w:t>
            </w:r>
          </w:p>
        </w:tc>
        <w:tc>
          <w:tcPr>
            <w:tcW w:w="2327"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注射用头孢噻肟钠</w:t>
            </w:r>
          </w:p>
        </w:tc>
        <w:tc>
          <w:tcPr>
            <w:tcW w:w="994"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注射剂</w:t>
            </w:r>
          </w:p>
        </w:tc>
        <w:tc>
          <w:tcPr>
            <w:tcW w:w="235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1g*10瓶/盒</w:t>
            </w:r>
          </w:p>
        </w:tc>
        <w:tc>
          <w:tcPr>
            <w:tcW w:w="1050"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盒</w:t>
            </w:r>
          </w:p>
        </w:tc>
        <w:tc>
          <w:tcPr>
            <w:tcW w:w="5711"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瑞阳制药股份有限公司</w:t>
            </w:r>
          </w:p>
        </w:tc>
        <w:tc>
          <w:tcPr>
            <w:tcW w:w="655" w:type="dxa"/>
            <w:noWrap w:val="0"/>
            <w:vAlign w:val="center"/>
          </w:tcPr>
          <w:p>
            <w:pPr>
              <w:adjustRightInd w:val="0"/>
              <w:snapToGrid w:val="0"/>
              <w:jc w:val="center"/>
              <w:rPr>
                <w:rFonts w:hint="eastAsia" w:ascii="方正宋三_GBK" w:hAnsi="宋体" w:eastAsia="方正宋三_GBK" w:cs="宋体"/>
                <w:color w:val="000000"/>
                <w:kern w:val="0"/>
                <w:sz w:val="18"/>
                <w:szCs w:val="18"/>
              </w:rPr>
            </w:pPr>
            <w:r>
              <w:rPr>
                <w:rFonts w:hint="eastAsia" w:ascii="方正宋三_GBK" w:hAnsi="宋体" w:eastAsia="方正宋三_GBK" w:cs="宋体"/>
                <w:color w:val="000000"/>
                <w:kern w:val="0"/>
                <w:sz w:val="18"/>
                <w:szCs w:val="18"/>
              </w:rPr>
              <w:t>23.50</w:t>
            </w:r>
          </w:p>
        </w:tc>
      </w:tr>
    </w:tbl>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jc w:val="left"/>
        <w:rPr>
          <w:rFonts w:hint="eastAsia" w:ascii="黑体" w:hAnsi="黑体" w:eastAsia="黑体" w:cs="仿宋_GB2312"/>
          <w:color w:val="000000"/>
        </w:rPr>
      </w:pPr>
      <w:r>
        <w:rPr>
          <w:rFonts w:hint="eastAsia" w:ascii="黑体" w:hAnsi="黑体" w:eastAsia="黑体" w:cs="仿宋_GB2312"/>
          <w:color w:val="000000"/>
        </w:rPr>
        <w:t>附件3</w:t>
      </w:r>
    </w:p>
    <w:p>
      <w:pPr>
        <w:adjustRightInd w:val="0"/>
        <w:snapToGrid w:val="0"/>
        <w:spacing w:line="66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全国药品集中采购（山东）第二备供产品供应清单</w:t>
      </w:r>
    </w:p>
    <w:tbl>
      <w:tblPr>
        <w:tblStyle w:val="17"/>
        <w:tblW w:w="1400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538"/>
        <w:gridCol w:w="724"/>
        <w:gridCol w:w="3134"/>
        <w:gridCol w:w="2520"/>
        <w:gridCol w:w="546"/>
        <w:gridCol w:w="4005"/>
        <w:gridCol w:w="793"/>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品种序号</w:t>
            </w:r>
          </w:p>
        </w:tc>
        <w:tc>
          <w:tcPr>
            <w:tcW w:w="1538"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药品通用名</w:t>
            </w:r>
          </w:p>
        </w:tc>
        <w:tc>
          <w:tcPr>
            <w:tcW w:w="724"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剂型</w:t>
            </w:r>
          </w:p>
        </w:tc>
        <w:tc>
          <w:tcPr>
            <w:tcW w:w="3134"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规格包装</w:t>
            </w:r>
          </w:p>
        </w:tc>
        <w:tc>
          <w:tcPr>
            <w:tcW w:w="2520"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包装方式</w:t>
            </w:r>
          </w:p>
        </w:tc>
        <w:tc>
          <w:tcPr>
            <w:tcW w:w="546"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计价</w:t>
            </w:r>
          </w:p>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单位</w:t>
            </w:r>
          </w:p>
        </w:tc>
        <w:tc>
          <w:tcPr>
            <w:tcW w:w="4005"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生产企业</w:t>
            </w:r>
          </w:p>
        </w:tc>
        <w:tc>
          <w:tcPr>
            <w:tcW w:w="793" w:type="dxa"/>
            <w:vMerge w:val="restart"/>
            <w:noWrap w:val="0"/>
            <w:vAlign w:val="center"/>
          </w:tcPr>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挂网价格</w:t>
            </w:r>
          </w:p>
          <w:p>
            <w:pPr>
              <w:widowControl/>
              <w:adjustRightInd w:val="0"/>
              <w:snapToGrid w:val="0"/>
              <w:jc w:val="center"/>
              <w:rPr>
                <w:rFonts w:hint="eastAsia" w:ascii="黑体" w:hAnsi="黑体" w:eastAsia="黑体" w:cs="宋体"/>
                <w:bCs/>
                <w:snapToGrid w:val="0"/>
                <w:color w:val="000000"/>
                <w:kern w:val="0"/>
                <w:sz w:val="18"/>
                <w:szCs w:val="18"/>
              </w:rPr>
            </w:pPr>
            <w:r>
              <w:rPr>
                <w:rFonts w:hint="eastAsia" w:ascii="黑体" w:hAnsi="黑体" w:eastAsia="黑体" w:cs="宋体"/>
                <w:bCs/>
                <w:snapToGrid w:val="0"/>
                <w:color w:val="000000"/>
                <w:kern w:val="0"/>
                <w:sz w:val="18"/>
                <w:szCs w:val="18"/>
              </w:rPr>
              <w:t>（元）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1538"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724"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3134"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2520"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546"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4005"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c>
          <w:tcPr>
            <w:tcW w:w="793" w:type="dxa"/>
            <w:vMerge w:val="continue"/>
            <w:noWrap w:val="0"/>
            <w:vAlign w:val="center"/>
          </w:tcPr>
          <w:p>
            <w:pPr>
              <w:widowControl/>
              <w:adjustRightInd w:val="0"/>
              <w:snapToGrid w:val="0"/>
              <w:jc w:val="center"/>
              <w:rPr>
                <w:rFonts w:hint="eastAsia" w:ascii="方正宋三_GBK" w:hAnsi="宋体" w:eastAsia="方正宋三_GBK" w:cs="宋体"/>
                <w:bCs/>
                <w:snapToGrid w:val="0"/>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restart"/>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3</w:t>
            </w: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氨甲环酸注射液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注射液</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5ml:0.25g*5支/盒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中硼硅玻璃安瓿包装</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成都倍特药业股份有限公司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12.75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氨甲环酸注射液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注射液</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5ml:0.5g*5支/盒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中硼硅玻璃安瓿包装</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成都倍特药业股份有限公司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21.65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氨甲环酸注射液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注射液</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10ml:1.0g*5支/盒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中硼硅玻璃安瓿包装</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成都倍特药业股份有限公司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36.80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6</w:t>
            </w: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丙戊酸钠注射用浓溶液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3ml:0.3g*5支/盒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中硼硅玻璃安瓿</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西安远大德天药业股份有限公司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38.78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8</w:t>
            </w: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呋塞米注射液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2ml:20mg*2ml/支，10 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中硼硅玻璃安瓿</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北京京丰制药集团有限公司（天津金耀药业有限公司受托生产）</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29.60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restart"/>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14</w:t>
            </w: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那屈肝素钙注射液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0.4ml:4100AXaIU（预灌封）*2支/盒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河北常山生化药业股份有限公司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27.76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那屈肝素钙注射液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0.6ml:6150AXaIU（预灌封）*2支/盒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河北常山生化药业股份有限公司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36.04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restart"/>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20</w:t>
            </w: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0.2ml:2000AXaIU（预灌封）*10支/盒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104.41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0.4ml:4000AXaIU（预灌封）*10支/盒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160.00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0.6ml:6000AXaIU（预灌封）*10支/盒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209.14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0.8ml:8000AXaIU（预灌封）*10支/盒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254.50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1.0ml:10000AXaIU（预灌封）*10支/盒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297.25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0.6ml:6000AXaIU（预灌封带安全装置）*12支/盒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预灌封注射器（带安全装置）</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256.96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0.8ml:8000AXaIU（预灌封带安全装置）*12支/盒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预灌封注射器（带安全装置）</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311.40 </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40" w:hRule="atLeast"/>
          <w:jc w:val="center"/>
        </w:trPr>
        <w:tc>
          <w:tcPr>
            <w:tcW w:w="745" w:type="dxa"/>
            <w:vMerge w:val="continue"/>
            <w:shd w:val="clear" w:color="auto" w:fill="auto"/>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p>
        </w:tc>
        <w:tc>
          <w:tcPr>
            <w:tcW w:w="1538"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依诺肝素钠注射液</w:t>
            </w:r>
          </w:p>
        </w:tc>
        <w:tc>
          <w:tcPr>
            <w:tcW w:w="72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注射剂</w:t>
            </w:r>
          </w:p>
        </w:tc>
        <w:tc>
          <w:tcPr>
            <w:tcW w:w="3134"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1.0ml:10000AXaIU（预灌封带安全装置）*12支/盒</w:t>
            </w:r>
          </w:p>
        </w:tc>
        <w:tc>
          <w:tcPr>
            <w:tcW w:w="2520"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预灌封注射器（带安全装置）</w:t>
            </w:r>
          </w:p>
        </w:tc>
        <w:tc>
          <w:tcPr>
            <w:tcW w:w="546"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盒</w:t>
            </w:r>
          </w:p>
        </w:tc>
        <w:tc>
          <w:tcPr>
            <w:tcW w:w="4005"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深圳市天道医药有限公司</w:t>
            </w:r>
          </w:p>
        </w:tc>
        <w:tc>
          <w:tcPr>
            <w:tcW w:w="793" w:type="dxa"/>
            <w:shd w:val="clear" w:color="auto" w:fill="FFFFFF"/>
            <w:noWrap w:val="0"/>
            <w:vAlign w:val="center"/>
          </w:tcPr>
          <w:p>
            <w:pPr>
              <w:widowControl/>
              <w:adjustRightInd w:val="0"/>
              <w:snapToGrid w:val="0"/>
              <w:jc w:val="center"/>
              <w:rPr>
                <w:rFonts w:hint="eastAsia" w:ascii="方正宋三_GBK" w:hAnsi="宋体" w:eastAsia="方正宋三_GBK" w:cs="宋体"/>
                <w:snapToGrid w:val="0"/>
                <w:color w:val="000000"/>
                <w:kern w:val="0"/>
                <w:sz w:val="18"/>
                <w:szCs w:val="18"/>
              </w:rPr>
            </w:pPr>
            <w:r>
              <w:rPr>
                <w:rFonts w:hint="eastAsia" w:ascii="方正宋三_GBK" w:hAnsi="宋体" w:eastAsia="方正宋三_GBK" w:cs="宋体"/>
                <w:snapToGrid w:val="0"/>
                <w:color w:val="000000"/>
                <w:kern w:val="0"/>
                <w:sz w:val="18"/>
                <w:szCs w:val="18"/>
              </w:rPr>
              <w:t xml:space="preserve">362.70 </w:t>
            </w:r>
          </w:p>
        </w:tc>
      </w:tr>
    </w:tbl>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ascii="仿宋_GB2312" w:hAnsi="仿宋_GB2312" w:cs="仿宋_GB2312"/>
          <w:color w:val="000000"/>
        </w:rPr>
        <w:sectPr>
          <w:headerReference r:id="rId7" w:type="default"/>
          <w:footerReference r:id="rId9" w:type="default"/>
          <w:headerReference r:id="rId8" w:type="even"/>
          <w:footerReference r:id="rId10" w:type="even"/>
          <w:pgSz w:w="16838" w:h="11906" w:orient="landscape"/>
          <w:pgMar w:top="1474" w:right="1440" w:bottom="1474" w:left="1440" w:header="851" w:footer="992" w:gutter="0"/>
          <w:cols w:space="720" w:num="1"/>
          <w:docGrid w:type="linesAndChars" w:linePitch="597" w:charSpace="-1259"/>
        </w:sect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18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560" w:lineRule="exact"/>
        <w:ind w:firstLine="628" w:firstLineChars="200"/>
        <w:rPr>
          <w:rFonts w:hint="eastAsia" w:ascii="仿宋_GB2312" w:hAnsi="仿宋_GB2312" w:cs="仿宋_GB2312"/>
          <w:color w:val="000000"/>
        </w:rPr>
      </w:pPr>
    </w:p>
    <w:tbl>
      <w:tblPr>
        <w:tblStyle w:val="17"/>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7" w:hRule="exact"/>
          <w:jc w:val="center"/>
        </w:trPr>
        <w:tc>
          <w:tcPr>
            <w:tcW w:w="8845" w:type="dxa"/>
            <w:noWrap w:val="0"/>
            <w:vAlign w:val="center"/>
          </w:tcPr>
          <w:p>
            <w:pPr>
              <w:pStyle w:val="8"/>
              <w:adjustRightInd w:val="0"/>
              <w:snapToGrid w:val="0"/>
              <w:ind w:left="314" w:leftChars="100" w:right="314" w:rightChars="100"/>
              <w:rPr>
                <w:rFonts w:hint="eastAsia" w:ascii="仿宋_GB2312" w:hAnsi="Times New Roman"/>
                <w:color w:val="000000"/>
                <w:sz w:val="28"/>
                <w:szCs w:val="28"/>
              </w:rPr>
            </w:pPr>
            <w:r>
              <w:rPr>
                <w:rFonts w:hint="eastAsia" w:ascii="仿宋_GB2312" w:hAnsi="Times New Roman"/>
                <w:color w:val="000000"/>
                <w:sz w:val="28"/>
                <w:szCs w:val="28"/>
              </w:rPr>
              <w:t xml:space="preserve">济南市医疗保障局办公室                   </w:t>
            </w:r>
            <w:r>
              <w:rPr>
                <w:rFonts w:ascii="仿宋_GB2312" w:hAnsi="Times New Roman"/>
                <w:color w:val="000000"/>
                <w:sz w:val="28"/>
                <w:szCs w:val="28"/>
              </w:rPr>
              <w:t>20</w:t>
            </w:r>
            <w:r>
              <w:rPr>
                <w:rFonts w:hint="eastAsia" w:ascii="仿宋_GB2312" w:hAnsi="Times New Roman"/>
                <w:color w:val="000000"/>
                <w:sz w:val="28"/>
                <w:szCs w:val="28"/>
              </w:rPr>
              <w:t>23</w:t>
            </w:r>
            <w:r>
              <w:rPr>
                <w:rFonts w:ascii="仿宋_GB2312" w:hAnsi="Times New Roman"/>
                <w:color w:val="000000"/>
                <w:sz w:val="28"/>
                <w:szCs w:val="28"/>
              </w:rPr>
              <w:t>年</w:t>
            </w:r>
            <w:r>
              <w:rPr>
                <w:rFonts w:hint="eastAsia" w:ascii="仿宋_GB2312" w:hAnsi="Times New Roman"/>
                <w:color w:val="000000"/>
                <w:sz w:val="28"/>
                <w:szCs w:val="28"/>
              </w:rPr>
              <w:t>6</w:t>
            </w:r>
            <w:r>
              <w:rPr>
                <w:rFonts w:ascii="仿宋_GB2312" w:hAnsi="Times New Roman"/>
                <w:color w:val="000000"/>
                <w:sz w:val="28"/>
                <w:szCs w:val="28"/>
              </w:rPr>
              <w:t>月</w:t>
            </w:r>
            <w:r>
              <w:rPr>
                <w:rFonts w:hint="eastAsia" w:ascii="仿宋_GB2312" w:hAnsi="Times New Roman"/>
                <w:color w:val="000000"/>
                <w:sz w:val="28"/>
                <w:szCs w:val="28"/>
              </w:rPr>
              <w:t>27</w:t>
            </w:r>
            <w:r>
              <w:rPr>
                <w:rFonts w:ascii="仿宋_GB2312" w:hAnsi="Times New Roman"/>
                <w:color w:val="000000"/>
                <w:sz w:val="28"/>
                <w:szCs w:val="28"/>
              </w:rPr>
              <w:t>日</w:t>
            </w:r>
            <w:r>
              <w:rPr>
                <w:rFonts w:hint="eastAsia" w:ascii="仿宋_GB2312" w:hAnsi="Times New Roman"/>
                <w:color w:val="000000"/>
                <w:sz w:val="28"/>
                <w:szCs w:val="28"/>
              </w:rPr>
              <w:t>印发</w:t>
            </w:r>
          </w:p>
        </w:tc>
      </w:tr>
    </w:tbl>
    <w:p>
      <w:pPr>
        <w:tabs>
          <w:tab w:val="left" w:pos="1701"/>
          <w:tab w:val="left" w:pos="1985"/>
        </w:tabs>
        <w:spacing w:line="20" w:lineRule="exact"/>
        <w:ind w:right="629"/>
        <w:rPr>
          <w:rFonts w:hint="eastAsia"/>
          <w:color w:val="000000"/>
        </w:rPr>
      </w:pPr>
    </w:p>
    <w:sectPr>
      <w:headerReference r:id="rId11" w:type="even"/>
      <w:footerReference r:id="rId12" w:type="even"/>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265BD-6D51-4C03-BAC6-31B61C2A60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B4FC468-FDEF-4D18-8E64-2A63CEB7A871}"/>
  </w:font>
  <w:font w:name="仿宋_GB2312">
    <w:panose1 w:val="02010609030101010101"/>
    <w:charset w:val="86"/>
    <w:family w:val="modern"/>
    <w:pitch w:val="default"/>
    <w:sig w:usb0="00000001" w:usb1="080E0000" w:usb2="00000000" w:usb3="00000000" w:csb0="00040000" w:csb1="00000000"/>
    <w:embedRegular r:id="rId3" w:fontKey="{BFC67A4F-B6CF-4747-8771-E71FFAA5E0D3}"/>
  </w:font>
  <w:font w:name="Cambria">
    <w:panose1 w:val="02040503050406030204"/>
    <w:charset w:val="00"/>
    <w:family w:val="roman"/>
    <w:pitch w:val="default"/>
    <w:sig w:usb0="E00006FF" w:usb1="420024FF" w:usb2="02000000" w:usb3="00000000" w:csb0="2000019F" w:csb1="00000000"/>
  </w:font>
  <w:font w:name="文星标宋">
    <w:altName w:val="方正小标宋简体"/>
    <w:panose1 w:val="0201060900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创艺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4" w:fontKey="{F8BADBCF-A880-44BB-82F0-A6F890EDCAA3}"/>
  </w:font>
  <w:font w:name="方正宋三_GBK">
    <w:altName w:val="宋体"/>
    <w:panose1 w:val="03000509000000000000"/>
    <w:charset w:val="86"/>
    <w:family w:val="script"/>
    <w:pitch w:val="default"/>
    <w:sig w:usb0="00000001" w:usb1="080E0000" w:usb2="00000010" w:usb3="00000000" w:csb0="00040000" w:csb1="00000000"/>
    <w:embedRegular r:id="rId5" w:fontKey="{20511ACF-A0E8-4937-B146-AB91805EDAA9}"/>
  </w:font>
  <w:font w:name="方正书宋_GBK">
    <w:altName w:val="微软雅黑"/>
    <w:panose1 w:val="03000509000000000000"/>
    <w:charset w:val="86"/>
    <w:family w:val="script"/>
    <w:pitch w:val="default"/>
    <w:sig w:usb0="00000001" w:usb1="080E0000" w:usb2="00000010" w:usb3="00000000" w:csb0="00040000" w:csb1="00000000"/>
    <w:embedRegular r:id="rId6" w:fontKey="{69B399DA-6741-4170-A0EB-EB5DEC8E7F05}"/>
  </w:font>
  <w:font w:name="方正小标宋简体">
    <w:panose1 w:val="02000000000000000000"/>
    <w:charset w:val="86"/>
    <w:family w:val="script"/>
    <w:pitch w:val="default"/>
    <w:sig w:usb0="00000001" w:usb1="080E0000" w:usb2="00000000" w:usb3="00000000" w:csb0="00040000" w:csb1="00000000"/>
    <w:embedRegular r:id="rId7" w:fontKey="{F494989D-7489-426B-830F-81E71DDED3B6}"/>
  </w:font>
  <w:font w:name="楷体">
    <w:panose1 w:val="02010609060101010101"/>
    <w:charset w:val="86"/>
    <w:family w:val="modern"/>
    <w:pitch w:val="default"/>
    <w:sig w:usb0="800002BF" w:usb1="38CF7CFA" w:usb2="00000016" w:usb3="00000000" w:csb0="00040001" w:csb1="00000000"/>
    <w:embedRegular r:id="rId8" w:fontKey="{0A82692D-9F8A-4205-94AA-DAF97448C0FF}"/>
  </w:font>
  <w:font w:name="楷体_GB2312">
    <w:panose1 w:val="02010609030101010101"/>
    <w:charset w:val="86"/>
    <w:family w:val="modern"/>
    <w:pitch w:val="default"/>
    <w:sig w:usb0="00000001" w:usb1="080E0000" w:usb2="00000000" w:usb3="00000000" w:csb0="00040000" w:csb1="00000000"/>
    <w:embedRegular r:id="rId9" w:fontKey="{E96BF5D8-B6BC-4BE5-B523-42761AAA9CD3}"/>
  </w:font>
  <w:font w:name="华文中宋">
    <w:panose1 w:val="02010600040101010101"/>
    <w:charset w:val="86"/>
    <w:family w:val="auto"/>
    <w:pitch w:val="default"/>
    <w:sig w:usb0="00000287" w:usb1="080F0000" w:usb2="00000000" w:usb3="00000000" w:csb0="0004009F" w:csb1="DFD70000"/>
    <w:embedRegular r:id="rId10" w:fontKey="{B2FB81D6-13C1-4418-98F9-51A68DBFB48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588" w:wrap="notBeside" w:vAnchor="page" w:hAnchor="margin" w:xAlign="outside" w:y="15197"/>
      <w:jc w:val="center"/>
      <w:rPr>
        <w:rStyle w:val="21"/>
        <w:rFonts w:hint="eastAsia" w:ascii="方正书宋_GBK" w:hAnsi="宋体" w:eastAsia="方正书宋_GBK"/>
        <w:sz w:val="28"/>
      </w:rPr>
    </w:pPr>
    <w:r>
      <w:rPr>
        <w:rStyle w:val="21"/>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1"/>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1"/>
        <w:rFonts w:ascii="方正书宋_GBK" w:hAnsi="宋体" w:eastAsia="方正书宋_GBK"/>
        <w:sz w:val="28"/>
        <w:lang/>
      </w:rPr>
      <w:t>5</w:t>
    </w:r>
    <w:r>
      <w:rPr>
        <w:rFonts w:hint="eastAsia" w:ascii="方正书宋_GBK" w:hAnsi="宋体" w:eastAsia="方正书宋_GBK"/>
        <w:sz w:val="28"/>
      </w:rPr>
      <w:fldChar w:fldCharType="end"/>
    </w:r>
    <w:r>
      <w:rPr>
        <w:rStyle w:val="21"/>
        <w:rFonts w:hint="eastAsia" w:ascii="方正书宋_GBK" w:hAnsi="宋体" w:eastAsia="方正书宋_GBK"/>
        <w:sz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1"/>
        <w:rFonts w:hint="eastAsia" w:ascii="方正宋三_GBK" w:eastAsia="方正宋三_GBK"/>
        <w:sz w:val="28"/>
        <w:szCs w:val="28"/>
      </w:rPr>
    </w:pPr>
    <w:r>
      <w:rPr>
        <w:rStyle w:val="21"/>
        <w:rFonts w:hint="eastAsia" w:ascii="方正宋三_GBK" w:eastAsia="方正宋三_GBK"/>
        <w:sz w:val="28"/>
        <w:szCs w:val="28"/>
      </w:rPr>
      <w:t xml:space="preserve">— </w:t>
    </w:r>
    <w:r>
      <w:rPr>
        <w:rStyle w:val="21"/>
        <w:rFonts w:hint="eastAsia" w:ascii="方正宋三_GBK" w:eastAsia="方正宋三_GBK"/>
        <w:sz w:val="28"/>
        <w:szCs w:val="28"/>
      </w:rPr>
      <w:fldChar w:fldCharType="begin"/>
    </w:r>
    <w:r>
      <w:rPr>
        <w:rStyle w:val="21"/>
        <w:rFonts w:hint="eastAsia" w:ascii="方正宋三_GBK" w:eastAsia="方正宋三_GBK"/>
        <w:sz w:val="28"/>
        <w:szCs w:val="28"/>
      </w:rPr>
      <w:instrText xml:space="preserve">PAGE  </w:instrText>
    </w:r>
    <w:r>
      <w:rPr>
        <w:rStyle w:val="21"/>
        <w:rFonts w:hint="eastAsia" w:ascii="方正宋三_GBK" w:eastAsia="方正宋三_GBK"/>
        <w:sz w:val="28"/>
        <w:szCs w:val="28"/>
      </w:rPr>
      <w:fldChar w:fldCharType="separate"/>
    </w:r>
    <w:r>
      <w:rPr>
        <w:rStyle w:val="21"/>
        <w:rFonts w:ascii="方正宋三_GBK" w:eastAsia="方正宋三_GBK"/>
        <w:sz w:val="28"/>
        <w:szCs w:val="28"/>
        <w:lang/>
      </w:rPr>
      <w:t>4</w:t>
    </w:r>
    <w:r>
      <w:rPr>
        <w:rStyle w:val="21"/>
        <w:rFonts w:hint="eastAsia" w:ascii="方正宋三_GBK" w:eastAsia="方正宋三_GBK"/>
        <w:sz w:val="28"/>
        <w:szCs w:val="28"/>
      </w:rPr>
      <w:fldChar w:fldCharType="end"/>
    </w:r>
    <w:r>
      <w:rPr>
        <w:rStyle w:val="21"/>
        <w:rFonts w:hint="eastAsia" w:ascii="方正宋三_GBK" w:eastAsia="方正宋三_GBK"/>
        <w:sz w:val="28"/>
        <w:szCs w:val="28"/>
      </w:rPr>
      <w:t xml:space="preserve"> —</w:t>
    </w:r>
  </w:p>
  <w:p>
    <w:pPr>
      <w:pStyle w:val="1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88" w:h="1466" w:hRule="exact" w:wrap="notBeside" w:vAnchor="page" w:hAnchor="page" w:x="656" w:y="8921"/>
      <w:jc w:val="center"/>
      <w:rPr>
        <w:rStyle w:val="21"/>
        <w:rFonts w:hint="eastAsia" w:ascii="方正书宋_GBK" w:hAnsi="宋体" w:eastAsia="方正书宋_GBK"/>
        <w:sz w:val="28"/>
      </w:rPr>
    </w:pPr>
    <w:r>
      <w:rPr>
        <w:rStyle w:val="21"/>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1"/>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1"/>
        <w:rFonts w:ascii="方正书宋_GBK" w:hAnsi="宋体" w:eastAsia="方正书宋_GBK"/>
        <w:sz w:val="28"/>
        <w:lang/>
      </w:rPr>
      <w:t>7</w:t>
    </w:r>
    <w:r>
      <w:rPr>
        <w:rFonts w:hint="eastAsia" w:ascii="方正书宋_GBK" w:hAnsi="宋体" w:eastAsia="方正书宋_GBK"/>
        <w:sz w:val="28"/>
      </w:rPr>
      <w:fldChar w:fldCharType="end"/>
    </w:r>
    <w:r>
      <w:rPr>
        <w:rStyle w:val="21"/>
        <w:rFonts w:hint="eastAsia" w:ascii="方正书宋_GBK" w:hAnsi="宋体" w:eastAsia="方正书宋_GBK"/>
        <w:sz w:val="28"/>
      </w:rPr>
      <w:t xml:space="preserve"> —</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1"/>
        <w:rFonts w:hint="eastAsia" w:ascii="方正宋三_GBK" w:eastAsia="方正宋三_GBK"/>
        <w:sz w:val="28"/>
        <w:szCs w:val="28"/>
      </w:rPr>
    </w:pPr>
    <w:r>
      <w:rPr>
        <w:rStyle w:val="21"/>
        <w:rFonts w:hint="eastAsia" w:ascii="方正宋三_GBK" w:eastAsia="方正宋三_GBK"/>
        <w:sz w:val="28"/>
        <w:szCs w:val="28"/>
      </w:rPr>
      <w:t xml:space="preserve">— </w:t>
    </w:r>
    <w:r>
      <w:rPr>
        <w:rStyle w:val="21"/>
        <w:rFonts w:hint="eastAsia" w:ascii="方正宋三_GBK" w:eastAsia="方正宋三_GBK"/>
        <w:sz w:val="28"/>
        <w:szCs w:val="28"/>
      </w:rPr>
      <w:fldChar w:fldCharType="begin"/>
    </w:r>
    <w:r>
      <w:rPr>
        <w:rStyle w:val="21"/>
        <w:rFonts w:hint="eastAsia" w:ascii="方正宋三_GBK" w:eastAsia="方正宋三_GBK"/>
        <w:sz w:val="28"/>
        <w:szCs w:val="28"/>
      </w:rPr>
      <w:instrText xml:space="preserve">PAGE  </w:instrText>
    </w:r>
    <w:r>
      <w:rPr>
        <w:rStyle w:val="21"/>
        <w:rFonts w:hint="eastAsia" w:ascii="方正宋三_GBK" w:eastAsia="方正宋三_GBK"/>
        <w:sz w:val="28"/>
        <w:szCs w:val="28"/>
      </w:rPr>
      <w:fldChar w:fldCharType="separate"/>
    </w:r>
    <w:r>
      <w:rPr>
        <w:rStyle w:val="21"/>
        <w:rFonts w:ascii="方正宋三_GBK" w:eastAsia="方正宋三_GBK"/>
        <w:sz w:val="28"/>
        <w:szCs w:val="28"/>
        <w:lang/>
      </w:rPr>
      <w:t>14</w:t>
    </w:r>
    <w:r>
      <w:rPr>
        <w:rStyle w:val="21"/>
        <w:rFonts w:hint="eastAsia" w:ascii="方正宋三_GBK" w:eastAsia="方正宋三_GBK"/>
        <w:sz w:val="28"/>
        <w:szCs w:val="28"/>
      </w:rPr>
      <w:fldChar w:fldCharType="end"/>
    </w:r>
    <w:r>
      <w:rPr>
        <w:rStyle w:val="21"/>
        <w:rFonts w:hint="eastAsia" w:ascii="方正宋三_GBK" w:eastAsia="方正宋三_GBK"/>
        <w:sz w:val="28"/>
        <w:szCs w:val="28"/>
      </w:rPr>
      <w:t xml:space="preserve"> —</w:t>
    </w:r>
  </w:p>
  <w:p>
    <w:pPr>
      <w:pStyle w:val="1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472" w:h="1466" w:hRule="exact" w:wrap="notBeside" w:vAnchor="page" w:hAnchor="page" w:x="843" w:y="1515"/>
      <w:jc w:val="center"/>
      <w:rPr>
        <w:rStyle w:val="21"/>
        <w:rFonts w:hint="eastAsia" w:ascii="方正书宋_GBK" w:eastAsia="方正书宋_GBK"/>
        <w:sz w:val="28"/>
        <w:szCs w:val="28"/>
      </w:rPr>
    </w:pPr>
    <w:r>
      <w:rPr>
        <w:rStyle w:val="21"/>
        <w:rFonts w:hint="eastAsia" w:ascii="方正书宋_GBK" w:eastAsia="方正书宋_GBK"/>
        <w:sz w:val="28"/>
        <w:szCs w:val="28"/>
      </w:rPr>
      <w:t xml:space="preserve">— </w:t>
    </w:r>
    <w:r>
      <w:rPr>
        <w:rStyle w:val="21"/>
        <w:rFonts w:hint="eastAsia" w:ascii="方正书宋_GBK" w:eastAsia="方正书宋_GBK"/>
        <w:sz w:val="28"/>
        <w:szCs w:val="28"/>
      </w:rPr>
      <w:fldChar w:fldCharType="begin"/>
    </w:r>
    <w:r>
      <w:rPr>
        <w:rStyle w:val="21"/>
        <w:rFonts w:hint="eastAsia" w:ascii="方正书宋_GBK" w:eastAsia="方正书宋_GBK"/>
        <w:sz w:val="28"/>
        <w:szCs w:val="28"/>
      </w:rPr>
      <w:instrText xml:space="preserve">PAGE  </w:instrText>
    </w:r>
    <w:r>
      <w:rPr>
        <w:rStyle w:val="21"/>
        <w:rFonts w:hint="eastAsia" w:ascii="方正书宋_GBK" w:eastAsia="方正书宋_GBK"/>
        <w:sz w:val="28"/>
        <w:szCs w:val="28"/>
      </w:rPr>
      <w:fldChar w:fldCharType="separate"/>
    </w:r>
    <w:r>
      <w:rPr>
        <w:rStyle w:val="21"/>
        <w:rFonts w:ascii="方正书宋_GBK" w:eastAsia="方正书宋_GBK"/>
        <w:sz w:val="28"/>
        <w:szCs w:val="28"/>
        <w:lang/>
      </w:rPr>
      <w:t>8</w:t>
    </w:r>
    <w:r>
      <w:rPr>
        <w:rStyle w:val="21"/>
        <w:rFonts w:hint="eastAsia" w:ascii="方正书宋_GBK" w:eastAsia="方正书宋_GBK"/>
        <w:sz w:val="28"/>
        <w:szCs w:val="28"/>
      </w:rPr>
      <w:fldChar w:fldCharType="end"/>
    </w:r>
    <w:r>
      <w:rPr>
        <w:rStyle w:val="21"/>
        <w:rFonts w:hint="eastAsia" w:ascii="方正书宋_GBK" w:eastAsia="方正书宋_GBK"/>
        <w:sz w:val="28"/>
        <w:szCs w:val="28"/>
      </w:rPr>
      <w:t xml:space="preserve"> —</w:t>
    </w:r>
  </w:p>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mE4NmRhYTgwMzMzYWFhNTE3YjhjMmVmM2QyZGQifQ=="/>
  </w:docVars>
  <w:rsids>
    <w:rsidRoot w:val="0037056A"/>
    <w:rsid w:val="00001D93"/>
    <w:rsid w:val="00003FC8"/>
    <w:rsid w:val="00007050"/>
    <w:rsid w:val="00010E35"/>
    <w:rsid w:val="000120CC"/>
    <w:rsid w:val="00017D30"/>
    <w:rsid w:val="0002051A"/>
    <w:rsid w:val="00026013"/>
    <w:rsid w:val="00031737"/>
    <w:rsid w:val="00031D7F"/>
    <w:rsid w:val="0003383B"/>
    <w:rsid w:val="00033B4A"/>
    <w:rsid w:val="00040813"/>
    <w:rsid w:val="00044317"/>
    <w:rsid w:val="000443F8"/>
    <w:rsid w:val="00045ADA"/>
    <w:rsid w:val="00046709"/>
    <w:rsid w:val="00050D58"/>
    <w:rsid w:val="00051D34"/>
    <w:rsid w:val="000604D9"/>
    <w:rsid w:val="00060C5D"/>
    <w:rsid w:val="00063CE9"/>
    <w:rsid w:val="00064237"/>
    <w:rsid w:val="00067281"/>
    <w:rsid w:val="00073271"/>
    <w:rsid w:val="00075984"/>
    <w:rsid w:val="00075E17"/>
    <w:rsid w:val="0008110B"/>
    <w:rsid w:val="0008143C"/>
    <w:rsid w:val="000814C9"/>
    <w:rsid w:val="00083854"/>
    <w:rsid w:val="00090BCC"/>
    <w:rsid w:val="00093537"/>
    <w:rsid w:val="00096A43"/>
    <w:rsid w:val="000A026D"/>
    <w:rsid w:val="000A1365"/>
    <w:rsid w:val="000A40B7"/>
    <w:rsid w:val="000A4F04"/>
    <w:rsid w:val="000A703B"/>
    <w:rsid w:val="000B0107"/>
    <w:rsid w:val="000B0DE7"/>
    <w:rsid w:val="000B1B8C"/>
    <w:rsid w:val="000B424C"/>
    <w:rsid w:val="000B506D"/>
    <w:rsid w:val="000B636F"/>
    <w:rsid w:val="000B64EF"/>
    <w:rsid w:val="000C2052"/>
    <w:rsid w:val="000C29E1"/>
    <w:rsid w:val="000C3860"/>
    <w:rsid w:val="000C3920"/>
    <w:rsid w:val="000C4597"/>
    <w:rsid w:val="000C487E"/>
    <w:rsid w:val="000C4D97"/>
    <w:rsid w:val="000C5ACA"/>
    <w:rsid w:val="000C62A4"/>
    <w:rsid w:val="000C7EF5"/>
    <w:rsid w:val="000D15C0"/>
    <w:rsid w:val="000D1A5E"/>
    <w:rsid w:val="000D1CF8"/>
    <w:rsid w:val="000D5132"/>
    <w:rsid w:val="000E3C26"/>
    <w:rsid w:val="000F1232"/>
    <w:rsid w:val="000F2BDF"/>
    <w:rsid w:val="000F33CF"/>
    <w:rsid w:val="000F67DF"/>
    <w:rsid w:val="000F7363"/>
    <w:rsid w:val="000F7799"/>
    <w:rsid w:val="00105564"/>
    <w:rsid w:val="00110A18"/>
    <w:rsid w:val="0011497A"/>
    <w:rsid w:val="0012282D"/>
    <w:rsid w:val="001231BA"/>
    <w:rsid w:val="00126451"/>
    <w:rsid w:val="00126D3C"/>
    <w:rsid w:val="00126EE8"/>
    <w:rsid w:val="0013107D"/>
    <w:rsid w:val="001310A9"/>
    <w:rsid w:val="00131B78"/>
    <w:rsid w:val="001356D6"/>
    <w:rsid w:val="00136626"/>
    <w:rsid w:val="00137FE7"/>
    <w:rsid w:val="00141889"/>
    <w:rsid w:val="00141CAE"/>
    <w:rsid w:val="001455B4"/>
    <w:rsid w:val="00146DE6"/>
    <w:rsid w:val="00151BB6"/>
    <w:rsid w:val="00153F0A"/>
    <w:rsid w:val="001544BE"/>
    <w:rsid w:val="00156DD2"/>
    <w:rsid w:val="00162419"/>
    <w:rsid w:val="0016305B"/>
    <w:rsid w:val="00163CB0"/>
    <w:rsid w:val="00164391"/>
    <w:rsid w:val="00167D87"/>
    <w:rsid w:val="00167DFB"/>
    <w:rsid w:val="001722F9"/>
    <w:rsid w:val="00174712"/>
    <w:rsid w:val="00174851"/>
    <w:rsid w:val="00180902"/>
    <w:rsid w:val="00184E32"/>
    <w:rsid w:val="0018644F"/>
    <w:rsid w:val="00186CCB"/>
    <w:rsid w:val="00186DE9"/>
    <w:rsid w:val="00187BDA"/>
    <w:rsid w:val="00187EED"/>
    <w:rsid w:val="00191FCB"/>
    <w:rsid w:val="001A2BB2"/>
    <w:rsid w:val="001A714B"/>
    <w:rsid w:val="001A7AFB"/>
    <w:rsid w:val="001B172B"/>
    <w:rsid w:val="001B2AAA"/>
    <w:rsid w:val="001B4246"/>
    <w:rsid w:val="001B5EED"/>
    <w:rsid w:val="001C52CC"/>
    <w:rsid w:val="001C6003"/>
    <w:rsid w:val="001C607C"/>
    <w:rsid w:val="001C72AA"/>
    <w:rsid w:val="001D2C25"/>
    <w:rsid w:val="001D4364"/>
    <w:rsid w:val="001E1501"/>
    <w:rsid w:val="001E3A96"/>
    <w:rsid w:val="001E587C"/>
    <w:rsid w:val="001E67E7"/>
    <w:rsid w:val="001F48F4"/>
    <w:rsid w:val="001F4CE9"/>
    <w:rsid w:val="001F7AAE"/>
    <w:rsid w:val="0020054A"/>
    <w:rsid w:val="002027C8"/>
    <w:rsid w:val="0020405E"/>
    <w:rsid w:val="00204665"/>
    <w:rsid w:val="002046EA"/>
    <w:rsid w:val="00204FF7"/>
    <w:rsid w:val="00205EC2"/>
    <w:rsid w:val="00207FAF"/>
    <w:rsid w:val="002150F6"/>
    <w:rsid w:val="00215394"/>
    <w:rsid w:val="00217FD5"/>
    <w:rsid w:val="00222B9D"/>
    <w:rsid w:val="0022311F"/>
    <w:rsid w:val="00225A9C"/>
    <w:rsid w:val="002273D5"/>
    <w:rsid w:val="002328B4"/>
    <w:rsid w:val="00235319"/>
    <w:rsid w:val="00235A6E"/>
    <w:rsid w:val="002430B0"/>
    <w:rsid w:val="002503D6"/>
    <w:rsid w:val="00254FFA"/>
    <w:rsid w:val="00255938"/>
    <w:rsid w:val="00264A56"/>
    <w:rsid w:val="00271E1A"/>
    <w:rsid w:val="00272238"/>
    <w:rsid w:val="002737CC"/>
    <w:rsid w:val="00274DC1"/>
    <w:rsid w:val="00275CC6"/>
    <w:rsid w:val="002773E6"/>
    <w:rsid w:val="00284486"/>
    <w:rsid w:val="0029101F"/>
    <w:rsid w:val="00293BC3"/>
    <w:rsid w:val="00293EC2"/>
    <w:rsid w:val="00297912"/>
    <w:rsid w:val="002A0059"/>
    <w:rsid w:val="002A39DA"/>
    <w:rsid w:val="002A5BA0"/>
    <w:rsid w:val="002A6DEE"/>
    <w:rsid w:val="002A7746"/>
    <w:rsid w:val="002B23C8"/>
    <w:rsid w:val="002B2EF0"/>
    <w:rsid w:val="002C0360"/>
    <w:rsid w:val="002C0A0D"/>
    <w:rsid w:val="002C18DF"/>
    <w:rsid w:val="002C3534"/>
    <w:rsid w:val="002C5EE1"/>
    <w:rsid w:val="002C654A"/>
    <w:rsid w:val="002D2D99"/>
    <w:rsid w:val="002D45D7"/>
    <w:rsid w:val="002D7E20"/>
    <w:rsid w:val="002E03B7"/>
    <w:rsid w:val="002E5517"/>
    <w:rsid w:val="002E5ACF"/>
    <w:rsid w:val="002E68E3"/>
    <w:rsid w:val="002E783D"/>
    <w:rsid w:val="002F212E"/>
    <w:rsid w:val="002F5EBE"/>
    <w:rsid w:val="002F654A"/>
    <w:rsid w:val="002F79FD"/>
    <w:rsid w:val="00313A94"/>
    <w:rsid w:val="0031428E"/>
    <w:rsid w:val="00317B0D"/>
    <w:rsid w:val="003208F1"/>
    <w:rsid w:val="0032365E"/>
    <w:rsid w:val="00324AD0"/>
    <w:rsid w:val="0033390F"/>
    <w:rsid w:val="00333D32"/>
    <w:rsid w:val="00333FD6"/>
    <w:rsid w:val="00335E1B"/>
    <w:rsid w:val="00336E42"/>
    <w:rsid w:val="00342FD5"/>
    <w:rsid w:val="00343E1B"/>
    <w:rsid w:val="00345427"/>
    <w:rsid w:val="00345CEE"/>
    <w:rsid w:val="00347FD1"/>
    <w:rsid w:val="0035068C"/>
    <w:rsid w:val="00351790"/>
    <w:rsid w:val="00351C0C"/>
    <w:rsid w:val="00352293"/>
    <w:rsid w:val="00362C0F"/>
    <w:rsid w:val="0036325C"/>
    <w:rsid w:val="00363DA0"/>
    <w:rsid w:val="00364539"/>
    <w:rsid w:val="0037056A"/>
    <w:rsid w:val="00371A07"/>
    <w:rsid w:val="0037242F"/>
    <w:rsid w:val="00375231"/>
    <w:rsid w:val="003756B8"/>
    <w:rsid w:val="00376EAF"/>
    <w:rsid w:val="0038111A"/>
    <w:rsid w:val="0038429D"/>
    <w:rsid w:val="003914F2"/>
    <w:rsid w:val="00393846"/>
    <w:rsid w:val="00394183"/>
    <w:rsid w:val="00394E2C"/>
    <w:rsid w:val="00394E43"/>
    <w:rsid w:val="003A75E6"/>
    <w:rsid w:val="003B4A93"/>
    <w:rsid w:val="003B55AB"/>
    <w:rsid w:val="003C345F"/>
    <w:rsid w:val="003C3584"/>
    <w:rsid w:val="003D08BA"/>
    <w:rsid w:val="003D1823"/>
    <w:rsid w:val="003D6E0C"/>
    <w:rsid w:val="003E14D5"/>
    <w:rsid w:val="003E55D4"/>
    <w:rsid w:val="003E6E3E"/>
    <w:rsid w:val="003E74B1"/>
    <w:rsid w:val="003F4C2E"/>
    <w:rsid w:val="003F5937"/>
    <w:rsid w:val="003F7DCE"/>
    <w:rsid w:val="00401C8F"/>
    <w:rsid w:val="004062BD"/>
    <w:rsid w:val="00410336"/>
    <w:rsid w:val="0041542A"/>
    <w:rsid w:val="00415E0C"/>
    <w:rsid w:val="004161DC"/>
    <w:rsid w:val="004207C7"/>
    <w:rsid w:val="00420C88"/>
    <w:rsid w:val="00426600"/>
    <w:rsid w:val="00426F1E"/>
    <w:rsid w:val="00433EF1"/>
    <w:rsid w:val="004412EF"/>
    <w:rsid w:val="00445B76"/>
    <w:rsid w:val="004464D3"/>
    <w:rsid w:val="0044661D"/>
    <w:rsid w:val="00446DF4"/>
    <w:rsid w:val="004474E3"/>
    <w:rsid w:val="00450D21"/>
    <w:rsid w:val="0045511E"/>
    <w:rsid w:val="004558EB"/>
    <w:rsid w:val="004571D6"/>
    <w:rsid w:val="00462C1E"/>
    <w:rsid w:val="00465131"/>
    <w:rsid w:val="00466ADB"/>
    <w:rsid w:val="00471BC8"/>
    <w:rsid w:val="00471DFC"/>
    <w:rsid w:val="00474C24"/>
    <w:rsid w:val="00481628"/>
    <w:rsid w:val="004856E6"/>
    <w:rsid w:val="00490075"/>
    <w:rsid w:val="0049054B"/>
    <w:rsid w:val="004912FD"/>
    <w:rsid w:val="00491E13"/>
    <w:rsid w:val="004960A1"/>
    <w:rsid w:val="004A2397"/>
    <w:rsid w:val="004A3B0A"/>
    <w:rsid w:val="004A5ED0"/>
    <w:rsid w:val="004A7259"/>
    <w:rsid w:val="004B279E"/>
    <w:rsid w:val="004B287A"/>
    <w:rsid w:val="004B3E9E"/>
    <w:rsid w:val="004B4CDB"/>
    <w:rsid w:val="004B6C6D"/>
    <w:rsid w:val="004C16D6"/>
    <w:rsid w:val="004D097A"/>
    <w:rsid w:val="004D0F36"/>
    <w:rsid w:val="004D1F1F"/>
    <w:rsid w:val="004D2097"/>
    <w:rsid w:val="004D213F"/>
    <w:rsid w:val="004D3184"/>
    <w:rsid w:val="004D4F76"/>
    <w:rsid w:val="004E1038"/>
    <w:rsid w:val="004E1BE3"/>
    <w:rsid w:val="004E1F57"/>
    <w:rsid w:val="004E3B1F"/>
    <w:rsid w:val="004E4CAD"/>
    <w:rsid w:val="004E5820"/>
    <w:rsid w:val="004F0D25"/>
    <w:rsid w:val="004F74F0"/>
    <w:rsid w:val="004F7DE2"/>
    <w:rsid w:val="00501548"/>
    <w:rsid w:val="00503141"/>
    <w:rsid w:val="005040B8"/>
    <w:rsid w:val="005109DB"/>
    <w:rsid w:val="00512E55"/>
    <w:rsid w:val="0051723B"/>
    <w:rsid w:val="00517BF9"/>
    <w:rsid w:val="005210AB"/>
    <w:rsid w:val="00521437"/>
    <w:rsid w:val="00521E43"/>
    <w:rsid w:val="00530981"/>
    <w:rsid w:val="00535361"/>
    <w:rsid w:val="005354AF"/>
    <w:rsid w:val="0054205F"/>
    <w:rsid w:val="00542294"/>
    <w:rsid w:val="00542390"/>
    <w:rsid w:val="00551402"/>
    <w:rsid w:val="00556265"/>
    <w:rsid w:val="0055786D"/>
    <w:rsid w:val="00560251"/>
    <w:rsid w:val="00562528"/>
    <w:rsid w:val="00564DAA"/>
    <w:rsid w:val="00565599"/>
    <w:rsid w:val="0056575D"/>
    <w:rsid w:val="005664D2"/>
    <w:rsid w:val="0056651E"/>
    <w:rsid w:val="005706AF"/>
    <w:rsid w:val="00571D71"/>
    <w:rsid w:val="005731F6"/>
    <w:rsid w:val="005745F3"/>
    <w:rsid w:val="00574966"/>
    <w:rsid w:val="00576208"/>
    <w:rsid w:val="00594443"/>
    <w:rsid w:val="0059612F"/>
    <w:rsid w:val="005A4E15"/>
    <w:rsid w:val="005A5470"/>
    <w:rsid w:val="005A5DB1"/>
    <w:rsid w:val="005A6EA5"/>
    <w:rsid w:val="005A72F9"/>
    <w:rsid w:val="005A7AC2"/>
    <w:rsid w:val="005B3B78"/>
    <w:rsid w:val="005B6516"/>
    <w:rsid w:val="005C3BDB"/>
    <w:rsid w:val="005C45A9"/>
    <w:rsid w:val="005C4601"/>
    <w:rsid w:val="005C4E75"/>
    <w:rsid w:val="005C6CC4"/>
    <w:rsid w:val="005C7383"/>
    <w:rsid w:val="005D0780"/>
    <w:rsid w:val="005D28C5"/>
    <w:rsid w:val="005E4092"/>
    <w:rsid w:val="005F11BB"/>
    <w:rsid w:val="005F59FE"/>
    <w:rsid w:val="005F6F85"/>
    <w:rsid w:val="00600BE1"/>
    <w:rsid w:val="00600E22"/>
    <w:rsid w:val="00600E57"/>
    <w:rsid w:val="00603223"/>
    <w:rsid w:val="00604243"/>
    <w:rsid w:val="00605001"/>
    <w:rsid w:val="006058E7"/>
    <w:rsid w:val="0060615E"/>
    <w:rsid w:val="00610094"/>
    <w:rsid w:val="006100C9"/>
    <w:rsid w:val="00610569"/>
    <w:rsid w:val="006169BD"/>
    <w:rsid w:val="0062009C"/>
    <w:rsid w:val="006219E3"/>
    <w:rsid w:val="00623D78"/>
    <w:rsid w:val="00624C70"/>
    <w:rsid w:val="006265B9"/>
    <w:rsid w:val="00633D2E"/>
    <w:rsid w:val="006403A1"/>
    <w:rsid w:val="00641253"/>
    <w:rsid w:val="00642271"/>
    <w:rsid w:val="00642AE8"/>
    <w:rsid w:val="00644272"/>
    <w:rsid w:val="00644E89"/>
    <w:rsid w:val="00645268"/>
    <w:rsid w:val="00650C1D"/>
    <w:rsid w:val="006541FE"/>
    <w:rsid w:val="00661721"/>
    <w:rsid w:val="00667119"/>
    <w:rsid w:val="0067319A"/>
    <w:rsid w:val="0067566C"/>
    <w:rsid w:val="0068190A"/>
    <w:rsid w:val="00683F77"/>
    <w:rsid w:val="00684700"/>
    <w:rsid w:val="00684809"/>
    <w:rsid w:val="00692D61"/>
    <w:rsid w:val="0069383F"/>
    <w:rsid w:val="00696C2B"/>
    <w:rsid w:val="006A1DFE"/>
    <w:rsid w:val="006A551C"/>
    <w:rsid w:val="006A5CA1"/>
    <w:rsid w:val="006C11F3"/>
    <w:rsid w:val="006C17BF"/>
    <w:rsid w:val="006C2C45"/>
    <w:rsid w:val="006D0725"/>
    <w:rsid w:val="006D528C"/>
    <w:rsid w:val="006D71E8"/>
    <w:rsid w:val="006D71EA"/>
    <w:rsid w:val="006E2DAD"/>
    <w:rsid w:val="006E4485"/>
    <w:rsid w:val="006E4AAA"/>
    <w:rsid w:val="006E59FD"/>
    <w:rsid w:val="006E6331"/>
    <w:rsid w:val="006F0422"/>
    <w:rsid w:val="006F3F74"/>
    <w:rsid w:val="006F583E"/>
    <w:rsid w:val="006F7A7D"/>
    <w:rsid w:val="0070084E"/>
    <w:rsid w:val="00701C26"/>
    <w:rsid w:val="00703157"/>
    <w:rsid w:val="00704582"/>
    <w:rsid w:val="00705E91"/>
    <w:rsid w:val="00715974"/>
    <w:rsid w:val="00716820"/>
    <w:rsid w:val="00717958"/>
    <w:rsid w:val="00717DEE"/>
    <w:rsid w:val="0072427F"/>
    <w:rsid w:val="00726555"/>
    <w:rsid w:val="0073011D"/>
    <w:rsid w:val="0073183E"/>
    <w:rsid w:val="007321C7"/>
    <w:rsid w:val="007413EA"/>
    <w:rsid w:val="007430DB"/>
    <w:rsid w:val="00744423"/>
    <w:rsid w:val="00747686"/>
    <w:rsid w:val="00750714"/>
    <w:rsid w:val="007574BD"/>
    <w:rsid w:val="00757A14"/>
    <w:rsid w:val="00761CA7"/>
    <w:rsid w:val="00761CF0"/>
    <w:rsid w:val="00765752"/>
    <w:rsid w:val="007715D8"/>
    <w:rsid w:val="0077345C"/>
    <w:rsid w:val="00780823"/>
    <w:rsid w:val="0078170A"/>
    <w:rsid w:val="00791B86"/>
    <w:rsid w:val="00792AE1"/>
    <w:rsid w:val="007A0BAB"/>
    <w:rsid w:val="007A4F20"/>
    <w:rsid w:val="007A526C"/>
    <w:rsid w:val="007A6166"/>
    <w:rsid w:val="007A7392"/>
    <w:rsid w:val="007B32AA"/>
    <w:rsid w:val="007B47B4"/>
    <w:rsid w:val="007B7F75"/>
    <w:rsid w:val="007C286E"/>
    <w:rsid w:val="007C34B3"/>
    <w:rsid w:val="007C35C9"/>
    <w:rsid w:val="007C522D"/>
    <w:rsid w:val="007C721F"/>
    <w:rsid w:val="007C762F"/>
    <w:rsid w:val="007D05DB"/>
    <w:rsid w:val="007D1720"/>
    <w:rsid w:val="007D2F3C"/>
    <w:rsid w:val="007D5B57"/>
    <w:rsid w:val="007D74AA"/>
    <w:rsid w:val="007E0B08"/>
    <w:rsid w:val="007E35F7"/>
    <w:rsid w:val="007F2BC9"/>
    <w:rsid w:val="007F5FDD"/>
    <w:rsid w:val="00804841"/>
    <w:rsid w:val="00806BC5"/>
    <w:rsid w:val="008075A8"/>
    <w:rsid w:val="0081017F"/>
    <w:rsid w:val="00813ADB"/>
    <w:rsid w:val="00814A14"/>
    <w:rsid w:val="00815988"/>
    <w:rsid w:val="00823D19"/>
    <w:rsid w:val="00823D41"/>
    <w:rsid w:val="008319F2"/>
    <w:rsid w:val="00831CB6"/>
    <w:rsid w:val="008333B5"/>
    <w:rsid w:val="00834E73"/>
    <w:rsid w:val="008405D0"/>
    <w:rsid w:val="00840B20"/>
    <w:rsid w:val="00843063"/>
    <w:rsid w:val="0084626F"/>
    <w:rsid w:val="00847DC6"/>
    <w:rsid w:val="00852060"/>
    <w:rsid w:val="00857B12"/>
    <w:rsid w:val="008609DD"/>
    <w:rsid w:val="00870789"/>
    <w:rsid w:val="008707AC"/>
    <w:rsid w:val="00871ABA"/>
    <w:rsid w:val="0087775F"/>
    <w:rsid w:val="0088249A"/>
    <w:rsid w:val="008928E5"/>
    <w:rsid w:val="00892C55"/>
    <w:rsid w:val="008A0533"/>
    <w:rsid w:val="008A4DD9"/>
    <w:rsid w:val="008B325D"/>
    <w:rsid w:val="008B36B0"/>
    <w:rsid w:val="008B5F59"/>
    <w:rsid w:val="008B6A9C"/>
    <w:rsid w:val="008B7CA8"/>
    <w:rsid w:val="008C2C0C"/>
    <w:rsid w:val="008C3325"/>
    <w:rsid w:val="008C37EE"/>
    <w:rsid w:val="008C6E0F"/>
    <w:rsid w:val="008C7E4B"/>
    <w:rsid w:val="008D311F"/>
    <w:rsid w:val="008D36DB"/>
    <w:rsid w:val="008D7C89"/>
    <w:rsid w:val="008E15CD"/>
    <w:rsid w:val="008E191E"/>
    <w:rsid w:val="008E38F1"/>
    <w:rsid w:val="008E3B6C"/>
    <w:rsid w:val="008E49C9"/>
    <w:rsid w:val="008E6737"/>
    <w:rsid w:val="008E6C8C"/>
    <w:rsid w:val="008E6FBF"/>
    <w:rsid w:val="008F2E99"/>
    <w:rsid w:val="008F3E32"/>
    <w:rsid w:val="008F48AE"/>
    <w:rsid w:val="008F5C5B"/>
    <w:rsid w:val="008F6C05"/>
    <w:rsid w:val="008F74CC"/>
    <w:rsid w:val="00906AE7"/>
    <w:rsid w:val="00907F23"/>
    <w:rsid w:val="00912E0D"/>
    <w:rsid w:val="00926C04"/>
    <w:rsid w:val="00930325"/>
    <w:rsid w:val="009330D0"/>
    <w:rsid w:val="0094602C"/>
    <w:rsid w:val="00950A7B"/>
    <w:rsid w:val="00950E05"/>
    <w:rsid w:val="00951506"/>
    <w:rsid w:val="00952D22"/>
    <w:rsid w:val="00954C74"/>
    <w:rsid w:val="0095639C"/>
    <w:rsid w:val="009601A2"/>
    <w:rsid w:val="00962D70"/>
    <w:rsid w:val="00966F05"/>
    <w:rsid w:val="00971A63"/>
    <w:rsid w:val="009733E8"/>
    <w:rsid w:val="009772D7"/>
    <w:rsid w:val="00977C0E"/>
    <w:rsid w:val="0098062D"/>
    <w:rsid w:val="009840F9"/>
    <w:rsid w:val="0098610E"/>
    <w:rsid w:val="00986E80"/>
    <w:rsid w:val="00995046"/>
    <w:rsid w:val="00997C3A"/>
    <w:rsid w:val="009B013A"/>
    <w:rsid w:val="009B453E"/>
    <w:rsid w:val="009B6371"/>
    <w:rsid w:val="009C0636"/>
    <w:rsid w:val="009C49AC"/>
    <w:rsid w:val="009C5F64"/>
    <w:rsid w:val="009C655E"/>
    <w:rsid w:val="009D1F42"/>
    <w:rsid w:val="009D5327"/>
    <w:rsid w:val="009D569A"/>
    <w:rsid w:val="009D5709"/>
    <w:rsid w:val="009D730C"/>
    <w:rsid w:val="009D7772"/>
    <w:rsid w:val="009E123F"/>
    <w:rsid w:val="009E4F78"/>
    <w:rsid w:val="009E58B9"/>
    <w:rsid w:val="009F2F7D"/>
    <w:rsid w:val="009F3ED6"/>
    <w:rsid w:val="009F5042"/>
    <w:rsid w:val="009F5871"/>
    <w:rsid w:val="00A00840"/>
    <w:rsid w:val="00A009E6"/>
    <w:rsid w:val="00A07048"/>
    <w:rsid w:val="00A12438"/>
    <w:rsid w:val="00A161BE"/>
    <w:rsid w:val="00A179B5"/>
    <w:rsid w:val="00A2002E"/>
    <w:rsid w:val="00A204F3"/>
    <w:rsid w:val="00A206EC"/>
    <w:rsid w:val="00A274B5"/>
    <w:rsid w:val="00A33730"/>
    <w:rsid w:val="00A35815"/>
    <w:rsid w:val="00A3662E"/>
    <w:rsid w:val="00A36FF5"/>
    <w:rsid w:val="00A43B7F"/>
    <w:rsid w:val="00A44397"/>
    <w:rsid w:val="00A571ED"/>
    <w:rsid w:val="00A574BC"/>
    <w:rsid w:val="00A613F0"/>
    <w:rsid w:val="00A63623"/>
    <w:rsid w:val="00A6689D"/>
    <w:rsid w:val="00A67CAD"/>
    <w:rsid w:val="00A74D35"/>
    <w:rsid w:val="00A777C9"/>
    <w:rsid w:val="00A82B1A"/>
    <w:rsid w:val="00A82DED"/>
    <w:rsid w:val="00A9052A"/>
    <w:rsid w:val="00A91AB5"/>
    <w:rsid w:val="00A92E7F"/>
    <w:rsid w:val="00AA21DC"/>
    <w:rsid w:val="00AA2274"/>
    <w:rsid w:val="00AA7726"/>
    <w:rsid w:val="00AB142F"/>
    <w:rsid w:val="00AB398C"/>
    <w:rsid w:val="00AB4B9E"/>
    <w:rsid w:val="00AB4E56"/>
    <w:rsid w:val="00AC1B23"/>
    <w:rsid w:val="00AC2513"/>
    <w:rsid w:val="00AC6246"/>
    <w:rsid w:val="00AC70E0"/>
    <w:rsid w:val="00AD015C"/>
    <w:rsid w:val="00AD0249"/>
    <w:rsid w:val="00AD1785"/>
    <w:rsid w:val="00AD2D0C"/>
    <w:rsid w:val="00AD5D52"/>
    <w:rsid w:val="00AE0B7E"/>
    <w:rsid w:val="00AE1AEB"/>
    <w:rsid w:val="00AE330F"/>
    <w:rsid w:val="00AE5947"/>
    <w:rsid w:val="00AE7AB1"/>
    <w:rsid w:val="00AF1538"/>
    <w:rsid w:val="00AF1CDF"/>
    <w:rsid w:val="00AF600B"/>
    <w:rsid w:val="00AF7443"/>
    <w:rsid w:val="00AF7E65"/>
    <w:rsid w:val="00B03880"/>
    <w:rsid w:val="00B06FC1"/>
    <w:rsid w:val="00B10CC7"/>
    <w:rsid w:val="00B11025"/>
    <w:rsid w:val="00B12312"/>
    <w:rsid w:val="00B14684"/>
    <w:rsid w:val="00B1490C"/>
    <w:rsid w:val="00B16455"/>
    <w:rsid w:val="00B22F0B"/>
    <w:rsid w:val="00B237A3"/>
    <w:rsid w:val="00B23E9F"/>
    <w:rsid w:val="00B330BD"/>
    <w:rsid w:val="00B331B1"/>
    <w:rsid w:val="00B416C3"/>
    <w:rsid w:val="00B42B42"/>
    <w:rsid w:val="00B42F36"/>
    <w:rsid w:val="00B42F63"/>
    <w:rsid w:val="00B45A9B"/>
    <w:rsid w:val="00B477C5"/>
    <w:rsid w:val="00B53B2C"/>
    <w:rsid w:val="00B56585"/>
    <w:rsid w:val="00B56B2E"/>
    <w:rsid w:val="00B615D9"/>
    <w:rsid w:val="00B61ED8"/>
    <w:rsid w:val="00B625B9"/>
    <w:rsid w:val="00B62D51"/>
    <w:rsid w:val="00B62DD4"/>
    <w:rsid w:val="00B676D5"/>
    <w:rsid w:val="00B726B3"/>
    <w:rsid w:val="00B8290D"/>
    <w:rsid w:val="00B83B91"/>
    <w:rsid w:val="00B84047"/>
    <w:rsid w:val="00B868B0"/>
    <w:rsid w:val="00B9028D"/>
    <w:rsid w:val="00B9656D"/>
    <w:rsid w:val="00BA00CF"/>
    <w:rsid w:val="00BA139A"/>
    <w:rsid w:val="00BA3EEC"/>
    <w:rsid w:val="00BA5206"/>
    <w:rsid w:val="00BA6C28"/>
    <w:rsid w:val="00BA78BE"/>
    <w:rsid w:val="00BB165F"/>
    <w:rsid w:val="00BB4573"/>
    <w:rsid w:val="00BC1779"/>
    <w:rsid w:val="00BC2715"/>
    <w:rsid w:val="00BC39AF"/>
    <w:rsid w:val="00BC6734"/>
    <w:rsid w:val="00BC7486"/>
    <w:rsid w:val="00BD41E7"/>
    <w:rsid w:val="00BD5C29"/>
    <w:rsid w:val="00BD5F2F"/>
    <w:rsid w:val="00BD70F6"/>
    <w:rsid w:val="00BE1E82"/>
    <w:rsid w:val="00BF06CE"/>
    <w:rsid w:val="00BF0F15"/>
    <w:rsid w:val="00BF2555"/>
    <w:rsid w:val="00BF3C7E"/>
    <w:rsid w:val="00BF4610"/>
    <w:rsid w:val="00BF79E3"/>
    <w:rsid w:val="00C0177E"/>
    <w:rsid w:val="00C03326"/>
    <w:rsid w:val="00C037B5"/>
    <w:rsid w:val="00C04822"/>
    <w:rsid w:val="00C04E3A"/>
    <w:rsid w:val="00C11233"/>
    <w:rsid w:val="00C20757"/>
    <w:rsid w:val="00C20D96"/>
    <w:rsid w:val="00C23454"/>
    <w:rsid w:val="00C25C89"/>
    <w:rsid w:val="00C34FF7"/>
    <w:rsid w:val="00C37D11"/>
    <w:rsid w:val="00C45237"/>
    <w:rsid w:val="00C46A0C"/>
    <w:rsid w:val="00C46E60"/>
    <w:rsid w:val="00C50579"/>
    <w:rsid w:val="00C524DB"/>
    <w:rsid w:val="00C53E40"/>
    <w:rsid w:val="00C55E85"/>
    <w:rsid w:val="00C5625D"/>
    <w:rsid w:val="00C5778C"/>
    <w:rsid w:val="00C62445"/>
    <w:rsid w:val="00C734C6"/>
    <w:rsid w:val="00C75394"/>
    <w:rsid w:val="00C8140C"/>
    <w:rsid w:val="00C855D5"/>
    <w:rsid w:val="00C96788"/>
    <w:rsid w:val="00C97420"/>
    <w:rsid w:val="00C97AC1"/>
    <w:rsid w:val="00C97EC9"/>
    <w:rsid w:val="00CA0700"/>
    <w:rsid w:val="00CA1B4E"/>
    <w:rsid w:val="00CA1E88"/>
    <w:rsid w:val="00CB711C"/>
    <w:rsid w:val="00CC3588"/>
    <w:rsid w:val="00CC3B6F"/>
    <w:rsid w:val="00CC42AE"/>
    <w:rsid w:val="00CC6673"/>
    <w:rsid w:val="00CD1BFF"/>
    <w:rsid w:val="00CD32DF"/>
    <w:rsid w:val="00CD35B7"/>
    <w:rsid w:val="00CD3DED"/>
    <w:rsid w:val="00CD6C0A"/>
    <w:rsid w:val="00CD70B2"/>
    <w:rsid w:val="00CE03D6"/>
    <w:rsid w:val="00CE047F"/>
    <w:rsid w:val="00CE0A87"/>
    <w:rsid w:val="00CE4AAF"/>
    <w:rsid w:val="00CE5964"/>
    <w:rsid w:val="00CF1727"/>
    <w:rsid w:val="00CF639C"/>
    <w:rsid w:val="00D00526"/>
    <w:rsid w:val="00D00671"/>
    <w:rsid w:val="00D06913"/>
    <w:rsid w:val="00D06D5F"/>
    <w:rsid w:val="00D07323"/>
    <w:rsid w:val="00D104C8"/>
    <w:rsid w:val="00D11115"/>
    <w:rsid w:val="00D17C3B"/>
    <w:rsid w:val="00D20445"/>
    <w:rsid w:val="00D2044B"/>
    <w:rsid w:val="00D2084C"/>
    <w:rsid w:val="00D223E9"/>
    <w:rsid w:val="00D23A72"/>
    <w:rsid w:val="00D23D80"/>
    <w:rsid w:val="00D321B5"/>
    <w:rsid w:val="00D330F2"/>
    <w:rsid w:val="00D33736"/>
    <w:rsid w:val="00D34AC5"/>
    <w:rsid w:val="00D35B18"/>
    <w:rsid w:val="00D36084"/>
    <w:rsid w:val="00D43420"/>
    <w:rsid w:val="00D46CB2"/>
    <w:rsid w:val="00D47456"/>
    <w:rsid w:val="00D5055C"/>
    <w:rsid w:val="00D5099E"/>
    <w:rsid w:val="00D535DF"/>
    <w:rsid w:val="00D56780"/>
    <w:rsid w:val="00D6081F"/>
    <w:rsid w:val="00D65672"/>
    <w:rsid w:val="00D67E92"/>
    <w:rsid w:val="00D71517"/>
    <w:rsid w:val="00D72D0D"/>
    <w:rsid w:val="00D73A8F"/>
    <w:rsid w:val="00D7440C"/>
    <w:rsid w:val="00D75FCA"/>
    <w:rsid w:val="00D77276"/>
    <w:rsid w:val="00D856AE"/>
    <w:rsid w:val="00D8669F"/>
    <w:rsid w:val="00D946D3"/>
    <w:rsid w:val="00D97FBB"/>
    <w:rsid w:val="00DB1F0D"/>
    <w:rsid w:val="00DC34BA"/>
    <w:rsid w:val="00DC6375"/>
    <w:rsid w:val="00DD6949"/>
    <w:rsid w:val="00DF1C5E"/>
    <w:rsid w:val="00DF41EE"/>
    <w:rsid w:val="00DF45D2"/>
    <w:rsid w:val="00DF5AAD"/>
    <w:rsid w:val="00DF6D0A"/>
    <w:rsid w:val="00DF71FD"/>
    <w:rsid w:val="00DF7889"/>
    <w:rsid w:val="00E022FB"/>
    <w:rsid w:val="00E06699"/>
    <w:rsid w:val="00E0783F"/>
    <w:rsid w:val="00E10DC8"/>
    <w:rsid w:val="00E117E9"/>
    <w:rsid w:val="00E11A1F"/>
    <w:rsid w:val="00E12621"/>
    <w:rsid w:val="00E1553E"/>
    <w:rsid w:val="00E20C70"/>
    <w:rsid w:val="00E226F2"/>
    <w:rsid w:val="00E25CE2"/>
    <w:rsid w:val="00E33DE9"/>
    <w:rsid w:val="00E44533"/>
    <w:rsid w:val="00E450AC"/>
    <w:rsid w:val="00E5066C"/>
    <w:rsid w:val="00E52231"/>
    <w:rsid w:val="00E5246E"/>
    <w:rsid w:val="00E55895"/>
    <w:rsid w:val="00E56D82"/>
    <w:rsid w:val="00E647D9"/>
    <w:rsid w:val="00E734D7"/>
    <w:rsid w:val="00E74739"/>
    <w:rsid w:val="00E74F4A"/>
    <w:rsid w:val="00E859EA"/>
    <w:rsid w:val="00E9006C"/>
    <w:rsid w:val="00EA1899"/>
    <w:rsid w:val="00EA337A"/>
    <w:rsid w:val="00EA73EC"/>
    <w:rsid w:val="00EA7E84"/>
    <w:rsid w:val="00EB01BE"/>
    <w:rsid w:val="00EB1EE0"/>
    <w:rsid w:val="00EB1FBB"/>
    <w:rsid w:val="00EB2573"/>
    <w:rsid w:val="00EB3268"/>
    <w:rsid w:val="00EB62C3"/>
    <w:rsid w:val="00EB7560"/>
    <w:rsid w:val="00EC0E51"/>
    <w:rsid w:val="00EC1279"/>
    <w:rsid w:val="00EC1A93"/>
    <w:rsid w:val="00EC1E0C"/>
    <w:rsid w:val="00EC210C"/>
    <w:rsid w:val="00EC5D14"/>
    <w:rsid w:val="00EC5DD2"/>
    <w:rsid w:val="00ED107E"/>
    <w:rsid w:val="00EE0FB9"/>
    <w:rsid w:val="00EE1771"/>
    <w:rsid w:val="00EE3201"/>
    <w:rsid w:val="00EE3F4E"/>
    <w:rsid w:val="00EE56FF"/>
    <w:rsid w:val="00EE5AF9"/>
    <w:rsid w:val="00EE7689"/>
    <w:rsid w:val="00EF1EB3"/>
    <w:rsid w:val="00EF5C6C"/>
    <w:rsid w:val="00EF65DE"/>
    <w:rsid w:val="00EF6AD9"/>
    <w:rsid w:val="00F01650"/>
    <w:rsid w:val="00F11C52"/>
    <w:rsid w:val="00F158BA"/>
    <w:rsid w:val="00F20767"/>
    <w:rsid w:val="00F21AF5"/>
    <w:rsid w:val="00F274FA"/>
    <w:rsid w:val="00F34B54"/>
    <w:rsid w:val="00F36BC4"/>
    <w:rsid w:val="00F43E13"/>
    <w:rsid w:val="00F45610"/>
    <w:rsid w:val="00F466A5"/>
    <w:rsid w:val="00F53556"/>
    <w:rsid w:val="00F53F7F"/>
    <w:rsid w:val="00F54BBF"/>
    <w:rsid w:val="00F54F35"/>
    <w:rsid w:val="00F5517D"/>
    <w:rsid w:val="00F567C9"/>
    <w:rsid w:val="00F60F93"/>
    <w:rsid w:val="00F61140"/>
    <w:rsid w:val="00F64E02"/>
    <w:rsid w:val="00F736CF"/>
    <w:rsid w:val="00F76D46"/>
    <w:rsid w:val="00F80EC2"/>
    <w:rsid w:val="00F80F72"/>
    <w:rsid w:val="00F8127F"/>
    <w:rsid w:val="00F81A39"/>
    <w:rsid w:val="00F848A1"/>
    <w:rsid w:val="00F90A23"/>
    <w:rsid w:val="00F949FC"/>
    <w:rsid w:val="00F95439"/>
    <w:rsid w:val="00F96FED"/>
    <w:rsid w:val="00F978E5"/>
    <w:rsid w:val="00F97AAA"/>
    <w:rsid w:val="00FA060B"/>
    <w:rsid w:val="00FA072A"/>
    <w:rsid w:val="00FA64DE"/>
    <w:rsid w:val="00FA663D"/>
    <w:rsid w:val="00FB0659"/>
    <w:rsid w:val="00FB2B5F"/>
    <w:rsid w:val="00FB2BEF"/>
    <w:rsid w:val="00FB348B"/>
    <w:rsid w:val="00FB6258"/>
    <w:rsid w:val="00FC7EBA"/>
    <w:rsid w:val="00FD09C7"/>
    <w:rsid w:val="00FD3788"/>
    <w:rsid w:val="00FD439F"/>
    <w:rsid w:val="00FD4786"/>
    <w:rsid w:val="00FE18C5"/>
    <w:rsid w:val="00FE2EB6"/>
    <w:rsid w:val="00FF014B"/>
    <w:rsid w:val="00FF1B22"/>
    <w:rsid w:val="00FF4791"/>
    <w:rsid w:val="00FF5385"/>
    <w:rsid w:val="00FF6187"/>
    <w:rsid w:val="00FF791C"/>
    <w:rsid w:val="045B1517"/>
    <w:rsid w:val="048B032B"/>
    <w:rsid w:val="0F3652D8"/>
    <w:rsid w:val="0FD9169D"/>
    <w:rsid w:val="11676D78"/>
    <w:rsid w:val="195F00A6"/>
    <w:rsid w:val="1AF81998"/>
    <w:rsid w:val="1B832DAB"/>
    <w:rsid w:val="20626D29"/>
    <w:rsid w:val="20F070A1"/>
    <w:rsid w:val="21E11216"/>
    <w:rsid w:val="249F4FDA"/>
    <w:rsid w:val="37C46342"/>
    <w:rsid w:val="3E1B5E09"/>
    <w:rsid w:val="456D21BF"/>
    <w:rsid w:val="48E74F2A"/>
    <w:rsid w:val="48EB060E"/>
    <w:rsid w:val="4A625220"/>
    <w:rsid w:val="586C5859"/>
    <w:rsid w:val="5D4B3645"/>
    <w:rsid w:val="6DA5120A"/>
    <w:rsid w:val="7B8E6410"/>
    <w:rsid w:val="7CE77212"/>
    <w:rsid w:val="7EA35D79"/>
    <w:rsid w:val="7FA938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3">
    <w:name w:val="heading 2"/>
    <w:basedOn w:val="1"/>
    <w:qFormat/>
    <w:uiPriority w:val="0"/>
    <w:pPr>
      <w:widowControl/>
      <w:spacing w:before="260" w:after="260" w:line="412" w:lineRule="auto"/>
      <w:outlineLvl w:val="1"/>
    </w:pPr>
    <w:rPr>
      <w:rFonts w:ascii="Cambria" w:hAnsi="Cambria" w:eastAsia="宋体" w:cs="宋体"/>
      <w:b/>
      <w:bCs/>
      <w:kern w:val="0"/>
    </w:rPr>
  </w:style>
  <w:style w:type="paragraph" w:styleId="4">
    <w:name w:val="heading 3"/>
    <w:basedOn w:val="1"/>
    <w:qFormat/>
    <w:uiPriority w:val="0"/>
    <w:pPr>
      <w:widowControl/>
      <w:spacing w:before="260" w:after="260" w:line="412" w:lineRule="auto"/>
      <w:outlineLvl w:val="2"/>
    </w:pPr>
    <w:rPr>
      <w:rFonts w:ascii="Calibri" w:hAnsi="Calibri" w:eastAsia="宋体" w:cs="宋体"/>
      <w:b/>
      <w:bCs/>
      <w:kern w:val="0"/>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List Number"/>
    <w:basedOn w:val="1"/>
    <w:uiPriority w:val="0"/>
    <w:pPr>
      <w:numPr>
        <w:ilvl w:val="0"/>
        <w:numId w:val="1"/>
      </w:numPr>
      <w:tabs>
        <w:tab w:val="left" w:leader="dot" w:pos="0"/>
      </w:tabs>
      <w:ind w:firstLineChars="0"/>
    </w:pPr>
    <w:rPr>
      <w:rFonts w:eastAsia="仿宋_GB2312"/>
      <w:sz w:val="32"/>
      <w:szCs w:val="20"/>
    </w:rPr>
  </w:style>
  <w:style w:type="paragraph" w:styleId="6">
    <w:name w:val="Body Text"/>
    <w:basedOn w:val="1"/>
    <w:uiPriority w:val="0"/>
    <w:pPr>
      <w:spacing w:line="560" w:lineRule="exact"/>
      <w:jc w:val="center"/>
    </w:pPr>
    <w:rPr>
      <w:rFonts w:ascii="文星标宋" w:eastAsia="文星标宋"/>
      <w:spacing w:val="-13"/>
      <w:sz w:val="40"/>
      <w:szCs w:val="40"/>
    </w:rPr>
  </w:style>
  <w:style w:type="paragraph" w:styleId="7">
    <w:name w:val="Body Text Indent"/>
    <w:basedOn w:val="1"/>
    <w:uiPriority w:val="0"/>
    <w:pPr>
      <w:spacing w:line="620" w:lineRule="exact"/>
      <w:ind w:firstLine="548" w:firstLineChars="200"/>
    </w:pPr>
    <w:rPr>
      <w:rFonts w:ascii="仿宋_GB2312" w:eastAsia="仿宋_GB2312"/>
      <w:spacing w:val="-20"/>
      <w:szCs w:val="32"/>
    </w:rPr>
  </w:style>
  <w:style w:type="paragraph" w:styleId="8">
    <w:name w:val="Plain Text"/>
    <w:basedOn w:val="1"/>
    <w:uiPriority w:val="0"/>
    <w:rPr>
      <w:rFonts w:ascii="宋体" w:hAnsi="Courier New"/>
      <w:sz w:val="32"/>
      <w:szCs w:val="20"/>
    </w:rPr>
  </w:style>
  <w:style w:type="paragraph" w:styleId="9">
    <w:name w:val="Date"/>
    <w:basedOn w:val="1"/>
    <w:next w:val="1"/>
    <w:uiPriority w:val="0"/>
    <w:pPr>
      <w:ind w:left="100" w:leftChars="2500"/>
    </w:pPr>
  </w:style>
  <w:style w:type="paragraph" w:styleId="10">
    <w:name w:val="Body Text Indent 2"/>
    <w:basedOn w:val="1"/>
    <w:uiPriority w:val="0"/>
    <w:pPr>
      <w:spacing w:line="580" w:lineRule="exact"/>
      <w:ind w:firstLine="628" w:firstLineChars="200"/>
    </w:pPr>
    <w:rPr>
      <w:rFonts w:ascii="仿宋_GB2312" w:eastAsia="仿宋_GB2312"/>
      <w:szCs w:val="32"/>
    </w:rPr>
  </w:style>
  <w:style w:type="paragraph" w:styleId="11">
    <w:name w:val="Balloon Text"/>
    <w:basedOn w:val="1"/>
    <w:semiHidden/>
    <w:uiPriority w:val="0"/>
    <w:rPr>
      <w:sz w:val="18"/>
      <w:szCs w:val="18"/>
    </w:rPr>
  </w:style>
  <w:style w:type="paragraph" w:styleId="12">
    <w:name w:val="footer"/>
    <w:basedOn w:val="1"/>
    <w:link w:val="23"/>
    <w:uiPriority w:val="0"/>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rPr>
      <w:rFonts w:ascii="Calibri" w:hAnsi="Calibri" w:eastAsia="宋体"/>
    </w:rPr>
  </w:style>
  <w:style w:type="paragraph" w:styleId="15">
    <w:name w:val="footnote text"/>
    <w:basedOn w:val="1"/>
    <w:semiHidden/>
    <w:uiPriority w:val="0"/>
    <w:pPr>
      <w:snapToGrid w:val="0"/>
      <w:jc w:val="left"/>
    </w:pPr>
    <w:rPr>
      <w:rFonts w:ascii="Calibri" w:hAnsi="Calibri" w:eastAsia="宋体"/>
      <w:sz w:val="18"/>
      <w:szCs w:val="18"/>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uiPriority w:val="0"/>
  </w:style>
  <w:style w:type="character" w:styleId="22">
    <w:name w:val="Hyperlink"/>
    <w:uiPriority w:val="0"/>
    <w:rPr>
      <w:color w:val="0000FF"/>
      <w:u w:val="single"/>
    </w:rPr>
  </w:style>
  <w:style w:type="character" w:customStyle="1" w:styleId="23">
    <w:name w:val=" Char Char1"/>
    <w:link w:val="12"/>
    <w:uiPriority w:val="0"/>
    <w:rPr>
      <w:rFonts w:eastAsia="宋体"/>
      <w:kern w:val="2"/>
      <w:sz w:val="18"/>
      <w:szCs w:val="18"/>
      <w:lang w:val="en-US" w:eastAsia="zh-CN" w:bidi="ar-SA"/>
    </w:rPr>
  </w:style>
  <w:style w:type="character" w:customStyle="1" w:styleId="24">
    <w:name w:val=" Char Char"/>
    <w:link w:val="13"/>
    <w:qFormat/>
    <w:uiPriority w:val="0"/>
    <w:rPr>
      <w:rFonts w:eastAsia="仿宋_GB2312"/>
      <w:kern w:val="2"/>
      <w:sz w:val="18"/>
      <w:szCs w:val="18"/>
      <w:lang w:val="en-US" w:eastAsia="zh-CN" w:bidi="ar-SA"/>
    </w:rPr>
  </w:style>
  <w:style w:type="character" w:customStyle="1" w:styleId="25">
    <w:name w:val="font51"/>
    <w:uiPriority w:val="0"/>
    <w:rPr>
      <w:rFonts w:hint="eastAsia" w:ascii="宋体" w:hAnsi="宋体" w:eastAsia="宋体"/>
      <w:color w:val="000000"/>
      <w:sz w:val="22"/>
      <w:szCs w:val="22"/>
      <w:u w:val="none"/>
    </w:rPr>
  </w:style>
  <w:style w:type="character" w:customStyle="1" w:styleId="26">
    <w:name w:val="h1231"/>
    <w:uiPriority w:val="0"/>
    <w:rPr>
      <w:rFonts w:hint="default" w:ascii="ˎ̥" w:hAnsi="ˎ̥"/>
      <w:color w:val="000000"/>
      <w:sz w:val="28"/>
      <w:szCs w:val="28"/>
      <w:u w:val="none"/>
    </w:rPr>
  </w:style>
  <w:style w:type="character" w:customStyle="1" w:styleId="27">
    <w:name w:val="font31"/>
    <w:uiPriority w:val="0"/>
    <w:rPr>
      <w:rFonts w:hint="eastAsia" w:ascii="宋体" w:hAnsi="宋体" w:eastAsia="宋体"/>
      <w:color w:val="FF0000"/>
      <w:sz w:val="22"/>
      <w:szCs w:val="22"/>
      <w:u w:val="none"/>
    </w:rPr>
  </w:style>
  <w:style w:type="character" w:customStyle="1" w:styleId="28">
    <w:name w:val="15"/>
    <w:uiPriority w:val="0"/>
    <w:rPr>
      <w:rFonts w:hint="default" w:ascii="Times New Roman" w:hAnsi="Times New Roman" w:cs="Times New Roman"/>
      <w:color w:val="2D64B3"/>
      <w:sz w:val="20"/>
      <w:szCs w:val="20"/>
      <w:u w:val="none"/>
    </w:rPr>
  </w:style>
  <w:style w:type="character" w:customStyle="1" w:styleId="29">
    <w:name w:val="样式 (西文) 仿宋_GB2312 四号"/>
    <w:uiPriority w:val="0"/>
    <w:rPr>
      <w:rFonts w:ascii="Arial" w:hAnsi="Arial" w:eastAsia="仿宋_GB2312"/>
      <w:sz w:val="28"/>
    </w:rPr>
  </w:style>
  <w:style w:type="paragraph" w:customStyle="1" w:styleId="30">
    <w:name w:val="_Style 16"/>
    <w:basedOn w:val="1"/>
    <w:next w:val="1"/>
    <w:uiPriority w:val="0"/>
    <w:pPr>
      <w:pBdr>
        <w:top w:val="single" w:color="auto" w:sz="6" w:space="1"/>
      </w:pBdr>
      <w:jc w:val="center"/>
    </w:pPr>
    <w:rPr>
      <w:rFonts w:ascii="Arial" w:hAnsi="Calibri" w:eastAsia="宋体"/>
      <w:vanish/>
      <w:sz w:val="16"/>
      <w:szCs w:val="24"/>
    </w:rPr>
  </w:style>
  <w:style w:type="paragraph" w:customStyle="1" w:styleId="31">
    <w:name w:val="p15"/>
    <w:basedOn w:val="1"/>
    <w:uiPriority w:val="0"/>
    <w:pPr>
      <w:widowControl/>
      <w:spacing w:before="100" w:after="100"/>
      <w:jc w:val="left"/>
    </w:pPr>
    <w:rPr>
      <w:rFonts w:ascii="宋体" w:hAnsi="宋体" w:eastAsia="宋体" w:cs="宋体"/>
      <w:kern w:val="0"/>
      <w:sz w:val="24"/>
      <w:szCs w:val="24"/>
    </w:rPr>
  </w:style>
  <w:style w:type="paragraph" w:customStyle="1" w:styleId="32">
    <w:name w:val="p18"/>
    <w:basedOn w:val="1"/>
    <w:uiPriority w:val="0"/>
    <w:pPr>
      <w:widowControl/>
      <w:spacing w:before="100" w:after="100"/>
      <w:jc w:val="left"/>
    </w:pPr>
    <w:rPr>
      <w:rFonts w:ascii="宋体" w:hAnsi="宋体" w:eastAsia="宋体" w:cs="宋体"/>
      <w:kern w:val="0"/>
      <w:sz w:val="24"/>
      <w:szCs w:val="24"/>
    </w:rPr>
  </w:style>
  <w:style w:type="paragraph" w:customStyle="1" w:styleId="33">
    <w:name w:val="Normal"/>
    <w:uiPriority w:val="0"/>
    <w:pPr>
      <w:jc w:val="both"/>
    </w:pPr>
    <w:rPr>
      <w:rFonts w:ascii="Calibri" w:hAnsi="Calibri" w:cs="宋体"/>
      <w:kern w:val="2"/>
      <w:sz w:val="21"/>
      <w:szCs w:val="21"/>
      <w:lang w:val="en-US" w:eastAsia="zh-CN" w:bidi="ar-SA"/>
    </w:rPr>
  </w:style>
  <w:style w:type="paragraph" w:customStyle="1" w:styleId="34">
    <w:name w:val="Char1"/>
    <w:basedOn w:val="1"/>
    <w:uiPriority w:val="0"/>
    <w:pPr>
      <w:tabs>
        <w:tab w:val="left" w:pos="360"/>
      </w:tabs>
    </w:pPr>
    <w:rPr>
      <w:rFonts w:eastAsia="仿宋_GB2312"/>
      <w:sz w:val="24"/>
      <w:szCs w:val="36"/>
    </w:rPr>
  </w:style>
  <w:style w:type="paragraph" w:customStyle="1" w:styleId="35">
    <w:name w:val="p17"/>
    <w:basedOn w:val="1"/>
    <w:uiPriority w:val="0"/>
    <w:pPr>
      <w:widowControl/>
      <w:spacing w:before="100" w:after="100"/>
      <w:jc w:val="left"/>
    </w:pPr>
    <w:rPr>
      <w:rFonts w:ascii="宋体" w:hAnsi="宋体" w:eastAsia="宋体" w:cs="宋体"/>
      <w:kern w:val="0"/>
      <w:sz w:val="24"/>
      <w:szCs w:val="24"/>
    </w:rPr>
  </w:style>
  <w:style w:type="paragraph" w:customStyle="1" w:styleId="36">
    <w:name w:val="p16"/>
    <w:basedOn w:val="1"/>
    <w:uiPriority w:val="0"/>
    <w:pPr>
      <w:widowControl/>
      <w:spacing w:after="120"/>
      <w:ind w:left="420"/>
    </w:pPr>
    <w:rPr>
      <w:rFonts w:eastAsia="宋体"/>
      <w:kern w:val="0"/>
      <w:sz w:val="21"/>
      <w:szCs w:val="21"/>
    </w:rPr>
  </w:style>
  <w:style w:type="paragraph" w:customStyle="1" w:styleId="37">
    <w:name w:val="列出段落"/>
    <w:basedOn w:val="1"/>
    <w:qFormat/>
    <w:uiPriority w:val="0"/>
    <w:pPr>
      <w:ind w:firstLine="420" w:firstLineChars="200"/>
    </w:pPr>
    <w:rPr>
      <w:rFonts w:eastAsia="宋体"/>
      <w:sz w:val="21"/>
      <w:szCs w:val="24"/>
    </w:rPr>
  </w:style>
  <w:style w:type="paragraph" w:customStyle="1" w:styleId="38">
    <w:name w:val="p0"/>
    <w:basedOn w:val="1"/>
    <w:uiPriority w:val="0"/>
    <w:pPr>
      <w:widowControl/>
    </w:pPr>
    <w:rPr>
      <w:rFonts w:eastAsia="宋体"/>
      <w:kern w:val="0"/>
      <w:sz w:val="21"/>
      <w:szCs w:val="21"/>
    </w:rPr>
  </w:style>
  <w:style w:type="paragraph" w:customStyle="1" w:styleId="39">
    <w:name w:val="Body text|1"/>
    <w:basedOn w:val="1"/>
    <w:uiPriority w:val="0"/>
    <w:pPr>
      <w:spacing w:line="456" w:lineRule="auto"/>
      <w:ind w:firstLine="400"/>
    </w:pPr>
    <w:rPr>
      <w:rFonts w:ascii="宋体" w:hAnsi="宋体" w:eastAsia="宋体" w:cs="宋体"/>
      <w:sz w:val="20"/>
      <w:szCs w:val="20"/>
    </w:rPr>
  </w:style>
  <w:style w:type="paragraph" w:customStyle="1" w:styleId="40">
    <w:name w:val="No Spacing"/>
    <w:basedOn w:val="1"/>
    <w:uiPriority w:val="0"/>
    <w:pPr>
      <w:jc w:val="left"/>
    </w:pPr>
    <w:rPr>
      <w:rFonts w:eastAsia="宋体"/>
      <w:color w:val="000000"/>
      <w:kern w:val="0"/>
      <w:sz w:val="24"/>
      <w:szCs w:val="24"/>
    </w:rPr>
  </w:style>
  <w:style w:type="paragraph" w:customStyle="1" w:styleId="41">
    <w:name w:val="BodyText1I2"/>
    <w:basedOn w:val="1"/>
    <w:uiPriority w:val="0"/>
    <w:pPr>
      <w:spacing w:line="600" w:lineRule="exact"/>
      <w:ind w:firstLine="420" w:firstLineChars="200"/>
    </w:pPr>
    <w:rPr>
      <w:rFonts w:ascii="仿宋_GB2312" w:hAnsi="创艺简标宋"/>
    </w:rPr>
  </w:style>
  <w:style w:type="paragraph" w:customStyle="1" w:styleId="42">
    <w:name w:val="List Paragraph"/>
    <w:basedOn w:val="1"/>
    <w:uiPriority w:val="0"/>
    <w:pPr>
      <w:ind w:firstLine="420" w:firstLineChars="200"/>
    </w:pPr>
    <w:rPr>
      <w:rFonts w:ascii="等线" w:hAnsi="等线" w:eastAsia="等线"/>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14</Pages>
  <Words>7433</Words>
  <Characters>9407</Characters>
  <Lines>76</Lines>
  <Paragraphs>21</Paragraphs>
  <TotalTime>6</TotalTime>
  <ScaleCrop>false</ScaleCrop>
  <LinksUpToDate>false</LinksUpToDate>
  <CharactersWithSpaces>9480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2023-06-27T07:43:00Z</dcterms:created>
  <dc:creator>微软用户</dc:creator>
  <cp:lastModifiedBy>WSQ</cp:lastModifiedBy>
  <cp:lastPrinted>2023-06-27T07:43:00Z</cp:lastPrinted>
  <dcterms:modified xsi:type="dcterms:W3CDTF">2023-11-24T11:46:39Z</dcterms:modified>
  <dc:title>济发改投资［２００7］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D62BAA73F8E649CF99905EC8C5BA1F41_13</vt:lpwstr>
  </property>
</Properties>
</file>