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1D69" w14:textId="0451D441" w:rsidR="00A724B8" w:rsidRDefault="0062020C">
      <w:pPr>
        <w:pStyle w:val="a6"/>
        <w:spacing w:line="480" w:lineRule="exact"/>
        <w:jc w:val="center"/>
        <w:rPr>
          <w:rFonts w:ascii="Times New Roman" w:hAnsi="Times New Roman"/>
          <w:color w:val="000000" w:themeColor="text1"/>
        </w:rPr>
      </w:pPr>
      <w:r>
        <w:rPr>
          <w:rFonts w:ascii="Times New Roman" w:hAnsi="Times New Roman" w:hint="eastAsia"/>
          <w:color w:val="000000" w:themeColor="text1"/>
        </w:rPr>
        <w:t xml:space="preserve"> </w:t>
      </w:r>
    </w:p>
    <w:p w14:paraId="3081EA76" w14:textId="77777777" w:rsidR="00A724B8" w:rsidRDefault="00A724B8">
      <w:pPr>
        <w:pStyle w:val="a6"/>
        <w:spacing w:line="480" w:lineRule="exact"/>
        <w:rPr>
          <w:rFonts w:ascii="Times New Roman" w:hAnsi="Times New Roman"/>
          <w:color w:val="000000" w:themeColor="text1"/>
        </w:rPr>
      </w:pPr>
    </w:p>
    <w:tbl>
      <w:tblPr>
        <w:tblStyle w:val="ae"/>
        <w:tblW w:w="9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233"/>
        <w:gridCol w:w="1771"/>
      </w:tblGrid>
      <w:tr w:rsidR="00A724B8" w14:paraId="6FA468BC" w14:textId="77777777">
        <w:trPr>
          <w:trHeight w:val="1971"/>
          <w:jc w:val="center"/>
        </w:trPr>
        <w:tc>
          <w:tcPr>
            <w:tcW w:w="7233" w:type="dxa"/>
            <w:vAlign w:val="center"/>
          </w:tcPr>
          <w:p w14:paraId="030C75E1" w14:textId="77777777" w:rsidR="00A724B8" w:rsidRDefault="000B5CD6">
            <w:pPr>
              <w:pStyle w:val="a6"/>
              <w:overflowPunct w:val="0"/>
              <w:adjustRightInd w:val="0"/>
              <w:snapToGrid w:val="0"/>
              <w:spacing w:line="800" w:lineRule="exact"/>
              <w:jc w:val="distribute"/>
              <w:rPr>
                <w:rFonts w:ascii="Times New Roman" w:eastAsia="方正小标宋简体" w:hAnsi="Times New Roman"/>
                <w:color w:val="FF0000"/>
                <w:w w:val="80"/>
                <w:sz w:val="68"/>
                <w:szCs w:val="68"/>
              </w:rPr>
            </w:pPr>
            <w:r>
              <w:rPr>
                <w:rFonts w:ascii="Times New Roman" w:eastAsia="方正小标宋简体" w:hAnsi="Times New Roman" w:hint="eastAsia"/>
                <w:color w:val="FF0000"/>
                <w:w w:val="80"/>
                <w:sz w:val="68"/>
                <w:szCs w:val="68"/>
              </w:rPr>
              <w:t>济南市医疗保障局</w:t>
            </w:r>
          </w:p>
          <w:p w14:paraId="1012F762" w14:textId="048158C8" w:rsidR="00A724B8" w:rsidRDefault="000B5CD6">
            <w:pPr>
              <w:overflowPunct w:val="0"/>
              <w:adjustRightInd w:val="0"/>
              <w:snapToGrid w:val="0"/>
              <w:spacing w:line="800" w:lineRule="exact"/>
              <w:jc w:val="distribute"/>
              <w:rPr>
                <w:rFonts w:eastAsia="方正小标宋简体"/>
                <w:color w:val="FF0000"/>
                <w:w w:val="80"/>
                <w:sz w:val="68"/>
                <w:szCs w:val="68"/>
              </w:rPr>
            </w:pPr>
            <w:r>
              <w:rPr>
                <w:rFonts w:eastAsia="方正小标宋简体" w:hint="eastAsia"/>
                <w:color w:val="FF0000"/>
                <w:w w:val="80"/>
                <w:sz w:val="68"/>
                <w:szCs w:val="68"/>
              </w:rPr>
              <w:t>济南市</w:t>
            </w:r>
            <w:r w:rsidR="00D4119E">
              <w:rPr>
                <w:rFonts w:eastAsia="方正小标宋简体" w:hint="eastAsia"/>
                <w:color w:val="FF0000"/>
                <w:w w:val="80"/>
                <w:sz w:val="68"/>
                <w:szCs w:val="68"/>
              </w:rPr>
              <w:t>发展和改革委员会</w:t>
            </w:r>
          </w:p>
          <w:p w14:paraId="42A91863" w14:textId="77777777" w:rsidR="00A724B8" w:rsidRDefault="000B5CD6">
            <w:pPr>
              <w:overflowPunct w:val="0"/>
              <w:adjustRightInd w:val="0"/>
              <w:snapToGrid w:val="0"/>
              <w:spacing w:line="800" w:lineRule="exact"/>
              <w:jc w:val="distribute"/>
              <w:rPr>
                <w:rFonts w:eastAsia="方正小标宋简体"/>
                <w:color w:val="FF0000"/>
                <w:w w:val="80"/>
                <w:sz w:val="68"/>
                <w:szCs w:val="68"/>
              </w:rPr>
            </w:pPr>
            <w:r>
              <w:rPr>
                <w:rFonts w:eastAsia="方正小标宋简体" w:hint="eastAsia"/>
                <w:color w:val="FF0000"/>
                <w:w w:val="80"/>
                <w:sz w:val="68"/>
                <w:szCs w:val="68"/>
              </w:rPr>
              <w:t>济南市财政局</w:t>
            </w:r>
          </w:p>
          <w:p w14:paraId="6C1957C4" w14:textId="29CC2D97" w:rsidR="00A724B8" w:rsidRDefault="000B5CD6">
            <w:pPr>
              <w:overflowPunct w:val="0"/>
              <w:adjustRightInd w:val="0"/>
              <w:snapToGrid w:val="0"/>
              <w:spacing w:line="800" w:lineRule="exact"/>
              <w:jc w:val="distribute"/>
              <w:rPr>
                <w:rFonts w:eastAsia="方正小标宋简体"/>
                <w:color w:val="FF0000"/>
                <w:w w:val="80"/>
                <w:sz w:val="68"/>
                <w:szCs w:val="68"/>
              </w:rPr>
            </w:pPr>
            <w:r>
              <w:rPr>
                <w:rFonts w:eastAsia="方正小标宋简体" w:hint="eastAsia"/>
                <w:color w:val="FF0000"/>
                <w:w w:val="80"/>
                <w:sz w:val="68"/>
                <w:szCs w:val="68"/>
              </w:rPr>
              <w:t>济南市</w:t>
            </w:r>
            <w:r w:rsidR="00D4119E">
              <w:rPr>
                <w:rFonts w:eastAsia="方正小标宋简体" w:hint="eastAsia"/>
                <w:color w:val="FF0000"/>
                <w:w w:val="80"/>
                <w:sz w:val="68"/>
                <w:szCs w:val="68"/>
              </w:rPr>
              <w:t>卫生健康委员会</w:t>
            </w:r>
          </w:p>
          <w:p w14:paraId="2348F730" w14:textId="6C10D07B" w:rsidR="00A724B8" w:rsidRDefault="000B5CD6">
            <w:pPr>
              <w:overflowPunct w:val="0"/>
              <w:adjustRightInd w:val="0"/>
              <w:snapToGrid w:val="0"/>
              <w:spacing w:line="800" w:lineRule="exact"/>
              <w:jc w:val="distribute"/>
              <w:rPr>
                <w:rFonts w:eastAsia="方正小标宋简体"/>
                <w:color w:val="FF0000"/>
                <w:w w:val="80"/>
                <w:sz w:val="68"/>
                <w:szCs w:val="68"/>
              </w:rPr>
            </w:pPr>
            <w:r>
              <w:rPr>
                <w:rFonts w:eastAsia="方正小标宋简体" w:hint="eastAsia"/>
                <w:color w:val="FF0000"/>
                <w:w w:val="80"/>
                <w:sz w:val="68"/>
                <w:szCs w:val="68"/>
              </w:rPr>
              <w:t>济南市</w:t>
            </w:r>
            <w:r w:rsidR="00D4119E">
              <w:rPr>
                <w:rFonts w:eastAsia="方正小标宋简体" w:hint="eastAsia"/>
                <w:color w:val="FF0000"/>
                <w:w w:val="80"/>
                <w:sz w:val="68"/>
                <w:szCs w:val="68"/>
              </w:rPr>
              <w:t>市场监督管理局</w:t>
            </w:r>
          </w:p>
          <w:p w14:paraId="40C4273B" w14:textId="0C56A001" w:rsidR="00A724B8" w:rsidRDefault="00D4119E" w:rsidP="00D4119E">
            <w:pPr>
              <w:overflowPunct w:val="0"/>
              <w:adjustRightInd w:val="0"/>
              <w:snapToGrid w:val="0"/>
              <w:spacing w:line="800" w:lineRule="exact"/>
              <w:jc w:val="distribute"/>
              <w:rPr>
                <w:rFonts w:eastAsia="方正小标宋简体"/>
                <w:color w:val="FF0000"/>
                <w:sz w:val="56"/>
                <w:szCs w:val="56"/>
              </w:rPr>
            </w:pPr>
            <w:r>
              <w:rPr>
                <w:rFonts w:eastAsia="方正小标宋简体" w:hint="eastAsia"/>
                <w:color w:val="FF0000"/>
                <w:w w:val="80"/>
                <w:sz w:val="68"/>
                <w:szCs w:val="68"/>
              </w:rPr>
              <w:t>济南市行政审批服务局</w:t>
            </w:r>
          </w:p>
        </w:tc>
        <w:tc>
          <w:tcPr>
            <w:tcW w:w="1771" w:type="dxa"/>
            <w:vAlign w:val="center"/>
          </w:tcPr>
          <w:p w14:paraId="4021E6EA" w14:textId="77777777" w:rsidR="00A724B8" w:rsidRDefault="000B5CD6">
            <w:pPr>
              <w:pStyle w:val="a6"/>
              <w:spacing w:line="1360" w:lineRule="exact"/>
              <w:jc w:val="center"/>
              <w:rPr>
                <w:rFonts w:ascii="Times New Roman" w:eastAsia="方正小标宋简体" w:hAnsi="Times New Roman"/>
                <w:color w:val="FF0000"/>
                <w:w w:val="66"/>
                <w:sz w:val="126"/>
                <w:szCs w:val="126"/>
              </w:rPr>
            </w:pPr>
            <w:r>
              <w:rPr>
                <w:rFonts w:ascii="Times New Roman" w:eastAsia="方正小标宋简体" w:hAnsi="Times New Roman" w:hint="eastAsia"/>
                <w:color w:val="FF0000"/>
                <w:w w:val="66"/>
                <w:sz w:val="126"/>
                <w:szCs w:val="126"/>
              </w:rPr>
              <w:t>文件</w:t>
            </w:r>
          </w:p>
        </w:tc>
      </w:tr>
    </w:tbl>
    <w:p w14:paraId="1152EA50" w14:textId="77777777" w:rsidR="00A724B8" w:rsidRDefault="00A724B8">
      <w:pPr>
        <w:pStyle w:val="a6"/>
        <w:spacing w:line="480" w:lineRule="exact"/>
        <w:jc w:val="center"/>
        <w:rPr>
          <w:rFonts w:ascii="Times New Roman" w:hAnsi="Times New Roman"/>
          <w:color w:val="000000" w:themeColor="text1"/>
        </w:rPr>
      </w:pPr>
    </w:p>
    <w:p w14:paraId="34F3B5D6" w14:textId="77777777" w:rsidR="00A724B8" w:rsidRDefault="00A724B8">
      <w:pPr>
        <w:pStyle w:val="a6"/>
        <w:spacing w:line="480" w:lineRule="exact"/>
        <w:jc w:val="center"/>
        <w:rPr>
          <w:rFonts w:ascii="Times New Roman" w:hAnsi="Times New Roman"/>
          <w:color w:val="000000" w:themeColor="text1"/>
        </w:rPr>
      </w:pPr>
    </w:p>
    <w:p w14:paraId="0493A41E" w14:textId="593EEA12" w:rsidR="00A724B8" w:rsidRDefault="000B5CD6">
      <w:pPr>
        <w:adjustRightInd w:val="0"/>
        <w:snapToGrid w:val="0"/>
        <w:jc w:val="center"/>
        <w:rPr>
          <w:rFonts w:ascii="仿宋_GB2312"/>
          <w:color w:val="000000" w:themeColor="text1"/>
        </w:rPr>
      </w:pPr>
      <w:r>
        <w:rPr>
          <w:rFonts w:ascii="仿宋_GB2312" w:hint="eastAsia"/>
          <w:color w:val="000000" w:themeColor="text1"/>
        </w:rPr>
        <w:t>济医保发〔202</w:t>
      </w:r>
      <w:r w:rsidR="00D4119E">
        <w:rPr>
          <w:rFonts w:ascii="仿宋_GB2312"/>
          <w:color w:val="000000" w:themeColor="text1"/>
        </w:rPr>
        <w:t>6</w:t>
      </w:r>
      <w:r>
        <w:rPr>
          <w:rFonts w:ascii="仿宋_GB2312" w:hint="eastAsia"/>
          <w:color w:val="000000" w:themeColor="text1"/>
        </w:rPr>
        <w:t>〕</w:t>
      </w:r>
      <w:r w:rsidR="00D4119E">
        <w:rPr>
          <w:rFonts w:ascii="仿宋_GB2312"/>
          <w:color w:val="000000" w:themeColor="text1"/>
        </w:rPr>
        <w:t>4</w:t>
      </w:r>
      <w:r>
        <w:rPr>
          <w:rFonts w:ascii="仿宋_GB2312" w:hint="eastAsia"/>
          <w:color w:val="000000" w:themeColor="text1"/>
        </w:rPr>
        <w:t>号</w:t>
      </w:r>
    </w:p>
    <w:p w14:paraId="2F0BD06A" w14:textId="77777777" w:rsidR="00A724B8" w:rsidRDefault="000B5CD6">
      <w:pPr>
        <w:adjustRightInd w:val="0"/>
        <w:snapToGrid w:val="0"/>
        <w:spacing w:line="460" w:lineRule="exact"/>
        <w:jc w:val="center"/>
        <w:rPr>
          <w:rFonts w:ascii="方正小标宋简体" w:eastAsia="方正小标宋简体"/>
          <w:color w:val="000000" w:themeColor="text1"/>
        </w:rPr>
      </w:pPr>
      <w:r>
        <w:rPr>
          <w:rFonts w:ascii="方正小标宋简体" w:eastAsia="方正小标宋简体" w:hint="eastAsia"/>
          <w:noProof/>
          <w:color w:val="000000" w:themeColor="text1"/>
        </w:rPr>
        <mc:AlternateContent>
          <mc:Choice Requires="wps">
            <w:drawing>
              <wp:anchor distT="0" distB="0" distL="114300" distR="114300" simplePos="0" relativeHeight="251652096" behindDoc="0" locked="0" layoutInCell="1" allowOverlap="1" wp14:anchorId="4CA1F76F" wp14:editId="4FC84CCB">
                <wp:simplePos x="0" y="0"/>
                <wp:positionH relativeFrom="column">
                  <wp:posOffset>-36195</wp:posOffset>
                </wp:positionH>
                <wp:positionV relativeFrom="paragraph">
                  <wp:posOffset>115570</wp:posOffset>
                </wp:positionV>
                <wp:extent cx="5652135" cy="0"/>
                <wp:effectExtent l="0" t="7620" r="0" b="8255"/>
                <wp:wrapNone/>
                <wp:docPr id="8" name="直线 153"/>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w14:anchorId="1607CF85" id="直线 153"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2.85pt,9.1pt" to="44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" strokecolor="red" strokeweight="1.25pt"/>
            </w:pict>
          </mc:Fallback>
        </mc:AlternateContent>
      </w:r>
    </w:p>
    <w:p w14:paraId="73475137" w14:textId="77777777" w:rsidR="00A724B8" w:rsidRDefault="00A724B8" w:rsidP="0017445D">
      <w:pPr>
        <w:adjustRightInd w:val="0"/>
        <w:snapToGrid w:val="0"/>
        <w:spacing w:line="660" w:lineRule="exact"/>
        <w:jc w:val="center"/>
        <w:rPr>
          <w:rFonts w:ascii="方正小标宋简体" w:eastAsia="方正小标宋简体"/>
          <w:color w:val="000000" w:themeColor="text1"/>
        </w:rPr>
      </w:pPr>
    </w:p>
    <w:p w14:paraId="6B0104E4" w14:textId="60F9773B" w:rsidR="00D4119E" w:rsidRDefault="00D4119E" w:rsidP="00D4119E">
      <w:pPr>
        <w:overflowPunct w:val="0"/>
        <w:adjustRightInd w:val="0"/>
        <w:snapToGrid w:val="0"/>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关于印发《济南市基本医保定点医药机构资源配置规划（2026—2027年）》的通知</w:t>
      </w:r>
    </w:p>
    <w:p w14:paraId="5D5FFA83" w14:textId="77777777" w:rsidR="00D4119E" w:rsidRPr="00D4119E" w:rsidRDefault="00D4119E" w:rsidP="00D4119E">
      <w:pPr>
        <w:pStyle w:val="TOC1"/>
      </w:pPr>
    </w:p>
    <w:p w14:paraId="3930A03A" w14:textId="0199D7A8" w:rsidR="00D4119E" w:rsidRPr="002C4E67" w:rsidRDefault="00D4119E" w:rsidP="0017445D">
      <w:pPr>
        <w:pStyle w:val="2"/>
        <w:adjustRightInd w:val="0"/>
        <w:snapToGrid w:val="0"/>
        <w:spacing w:before="0" w:after="0" w:line="620" w:lineRule="exact"/>
        <w:rPr>
          <w:rFonts w:ascii="仿宋_GB2312" w:eastAsia="仿宋_GB2312" w:hAnsi="仿宋_GB2312" w:cs="仿宋_GB2312"/>
          <w:b w:val="0"/>
          <w:bCs w:val="0"/>
        </w:rPr>
      </w:pPr>
      <w:r w:rsidRPr="002C4E67">
        <w:rPr>
          <w:rFonts w:ascii="仿宋_GB2312" w:eastAsia="仿宋_GB2312" w:hAnsi="仿宋_GB2312" w:cs="仿宋_GB2312" w:hint="eastAsia"/>
          <w:b w:val="0"/>
          <w:bCs w:val="0"/>
        </w:rPr>
        <w:t>各区县（功能区）医疗保障部门、发展改革部门、财政部门、卫生健康部门、市场监管部门、行政审批部门，市医疗保险事业中心，市医疗保险基金稽核中心，各有关医药机构</w:t>
      </w:r>
      <w:r w:rsidR="002C4E67">
        <w:rPr>
          <w:rFonts w:ascii="仿宋_GB2312" w:eastAsia="仿宋_GB2312" w:hAnsi="仿宋_GB2312" w:cs="仿宋_GB2312" w:hint="eastAsia"/>
          <w:b w:val="0"/>
          <w:bCs w:val="0"/>
        </w:rPr>
        <w:t>：</w:t>
      </w:r>
    </w:p>
    <w:p w14:paraId="197F9ACD" w14:textId="6D34F162" w:rsidR="00D4119E" w:rsidRDefault="00D4119E" w:rsidP="002C4E67">
      <w:pPr>
        <w:adjustRightInd w:val="0"/>
        <w:snapToGrid w:val="0"/>
        <w:spacing w:line="620" w:lineRule="exact"/>
        <w:ind w:firstLineChars="200" w:firstLine="628"/>
      </w:pPr>
      <w:r>
        <w:rPr>
          <w:rFonts w:hint="eastAsia"/>
        </w:rPr>
        <w:t>为科学合理配置医疗保障定点医药机构资源，现将《济南市</w:t>
      </w:r>
      <w:r>
        <w:rPr>
          <w:rFonts w:hint="eastAsia"/>
        </w:rPr>
        <w:lastRenderedPageBreak/>
        <w:t>基本医保定点医药机构资源配置规划（</w:t>
      </w:r>
      <w:r w:rsidRPr="00A61ED6">
        <w:rPr>
          <w:rFonts w:ascii="仿宋_GB2312" w:hint="eastAsia"/>
        </w:rPr>
        <w:t>2026—2027</w:t>
      </w:r>
      <w:r>
        <w:rPr>
          <w:rFonts w:hint="eastAsia"/>
        </w:rPr>
        <w:t>年）》印发给你们，请认真贯彻执行。</w:t>
      </w:r>
    </w:p>
    <w:p w14:paraId="3DCBDD29" w14:textId="5C0D81B3" w:rsidR="00114ABC" w:rsidRDefault="00114ABC" w:rsidP="00114ABC">
      <w:pPr>
        <w:adjustRightInd w:val="0"/>
        <w:snapToGrid w:val="0"/>
        <w:spacing w:line="580" w:lineRule="exact"/>
      </w:pPr>
    </w:p>
    <w:p w14:paraId="72407775" w14:textId="77777777" w:rsidR="00114ABC" w:rsidRDefault="00114ABC" w:rsidP="00D4119E">
      <w:pPr>
        <w:pStyle w:val="2"/>
        <w:adjustRightInd w:val="0"/>
        <w:snapToGrid w:val="0"/>
        <w:spacing w:before="0" w:after="0" w:line="580" w:lineRule="exact"/>
      </w:pPr>
    </w:p>
    <w:p w14:paraId="6DFA53D5" w14:textId="1A393979" w:rsidR="00697256" w:rsidRDefault="00697256" w:rsidP="00D4119E">
      <w:pPr>
        <w:pStyle w:val="2"/>
        <w:adjustRightInd w:val="0"/>
        <w:snapToGrid w:val="0"/>
        <w:spacing w:before="0" w:after="0" w:line="580" w:lineRule="exac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2"/>
      </w:tblGrid>
      <w:tr w:rsidR="00114ABC" w14:paraId="62CF44C5" w14:textId="77777777" w:rsidTr="00114ABC">
        <w:tc>
          <w:tcPr>
            <w:tcW w:w="3001" w:type="dxa"/>
            <w:vAlign w:val="center"/>
          </w:tcPr>
          <w:p w14:paraId="04EF8FA4" w14:textId="2D9305CD" w:rsidR="00114ABC" w:rsidRPr="00114ABC" w:rsidRDefault="00114ABC" w:rsidP="00114ABC">
            <w:pPr>
              <w:pStyle w:val="2"/>
              <w:adjustRightInd w:val="0"/>
              <w:snapToGrid w:val="0"/>
              <w:spacing w:before="0" w:after="0" w:line="240" w:lineRule="auto"/>
              <w:jc w:val="center"/>
              <w:outlineLvl w:val="1"/>
              <w:rPr>
                <w:rFonts w:ascii="仿宋_GB2312" w:eastAsia="仿宋_GB2312"/>
                <w:b w:val="0"/>
                <w:bCs w:val="0"/>
              </w:rPr>
            </w:pPr>
            <w:r w:rsidRPr="00114ABC">
              <w:rPr>
                <w:rFonts w:ascii="仿宋_GB2312" w:eastAsia="仿宋_GB2312" w:hint="eastAsia"/>
                <w:b w:val="0"/>
                <w:bCs w:val="0"/>
              </w:rPr>
              <w:t>济南市医疗保障局</w:t>
            </w:r>
          </w:p>
        </w:tc>
        <w:tc>
          <w:tcPr>
            <w:tcW w:w="3001" w:type="dxa"/>
            <w:vAlign w:val="center"/>
          </w:tcPr>
          <w:p w14:paraId="7DC67A4E" w14:textId="77777777" w:rsidR="00114ABC" w:rsidRPr="00114ABC" w:rsidRDefault="00114ABC" w:rsidP="00114ABC">
            <w:pPr>
              <w:pStyle w:val="2"/>
              <w:adjustRightInd w:val="0"/>
              <w:snapToGrid w:val="0"/>
              <w:spacing w:before="0" w:after="0" w:line="240" w:lineRule="auto"/>
              <w:jc w:val="center"/>
              <w:outlineLvl w:val="1"/>
              <w:rPr>
                <w:rFonts w:ascii="仿宋_GB2312" w:eastAsia="仿宋_GB2312"/>
                <w:b w:val="0"/>
                <w:bCs w:val="0"/>
              </w:rPr>
            </w:pPr>
            <w:r w:rsidRPr="00114ABC">
              <w:rPr>
                <w:rFonts w:ascii="仿宋_GB2312" w:eastAsia="仿宋_GB2312" w:hint="eastAsia"/>
                <w:b w:val="0"/>
                <w:bCs w:val="0"/>
              </w:rPr>
              <w:t>济南市发展和改革</w:t>
            </w:r>
          </w:p>
          <w:p w14:paraId="7566473D" w14:textId="424F0B9B" w:rsidR="00114ABC" w:rsidRPr="00114ABC" w:rsidRDefault="00114ABC" w:rsidP="00114ABC">
            <w:pPr>
              <w:pStyle w:val="2"/>
              <w:adjustRightInd w:val="0"/>
              <w:snapToGrid w:val="0"/>
              <w:spacing w:before="0" w:after="0" w:line="240" w:lineRule="auto"/>
              <w:jc w:val="center"/>
              <w:outlineLvl w:val="1"/>
              <w:rPr>
                <w:rFonts w:ascii="仿宋_GB2312" w:eastAsia="仿宋_GB2312"/>
                <w:b w:val="0"/>
                <w:bCs w:val="0"/>
              </w:rPr>
            </w:pPr>
            <w:r w:rsidRPr="00114ABC">
              <w:rPr>
                <w:rFonts w:ascii="仿宋_GB2312" w:eastAsia="仿宋_GB2312" w:hint="eastAsia"/>
                <w:b w:val="0"/>
                <w:bCs w:val="0"/>
              </w:rPr>
              <w:t>委员会</w:t>
            </w:r>
          </w:p>
        </w:tc>
        <w:tc>
          <w:tcPr>
            <w:tcW w:w="3002" w:type="dxa"/>
            <w:vAlign w:val="center"/>
          </w:tcPr>
          <w:p w14:paraId="6FC7E5FE" w14:textId="0D1ADAE6" w:rsidR="00114ABC" w:rsidRPr="00114ABC" w:rsidRDefault="00114ABC" w:rsidP="00114ABC">
            <w:pPr>
              <w:pStyle w:val="2"/>
              <w:adjustRightInd w:val="0"/>
              <w:snapToGrid w:val="0"/>
              <w:spacing w:before="0" w:after="0" w:line="240" w:lineRule="auto"/>
              <w:jc w:val="center"/>
              <w:outlineLvl w:val="1"/>
              <w:rPr>
                <w:rFonts w:ascii="仿宋_GB2312" w:eastAsia="仿宋_GB2312"/>
                <w:b w:val="0"/>
                <w:bCs w:val="0"/>
              </w:rPr>
            </w:pPr>
            <w:r w:rsidRPr="00114ABC">
              <w:rPr>
                <w:rFonts w:ascii="仿宋_GB2312" w:eastAsia="仿宋_GB2312" w:hint="eastAsia"/>
                <w:b w:val="0"/>
                <w:bCs w:val="0"/>
              </w:rPr>
              <w:t>济南市财政局</w:t>
            </w:r>
          </w:p>
        </w:tc>
      </w:tr>
    </w:tbl>
    <w:p w14:paraId="205E9E97" w14:textId="324A85D1" w:rsidR="00697256" w:rsidRDefault="00697256" w:rsidP="00D4119E">
      <w:pPr>
        <w:pStyle w:val="2"/>
        <w:adjustRightInd w:val="0"/>
        <w:snapToGrid w:val="0"/>
        <w:spacing w:before="0" w:after="0" w:line="580" w:lineRule="exact"/>
      </w:pPr>
    </w:p>
    <w:p w14:paraId="27287CB6" w14:textId="7B6490A2" w:rsidR="00114ABC" w:rsidRDefault="00114ABC" w:rsidP="00D4119E">
      <w:pPr>
        <w:pStyle w:val="2"/>
        <w:adjustRightInd w:val="0"/>
        <w:snapToGrid w:val="0"/>
        <w:spacing w:before="0" w:after="0" w:line="580" w:lineRule="exact"/>
      </w:pPr>
    </w:p>
    <w:p w14:paraId="1175418B" w14:textId="656F8C6E" w:rsidR="00114ABC" w:rsidRDefault="00114ABC" w:rsidP="00D4119E">
      <w:pPr>
        <w:pStyle w:val="2"/>
        <w:adjustRightInd w:val="0"/>
        <w:snapToGrid w:val="0"/>
        <w:spacing w:before="0" w:after="0" w:line="580" w:lineRule="exac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2"/>
      </w:tblGrid>
      <w:tr w:rsidR="00114ABC" w14:paraId="3E01C65D" w14:textId="77777777" w:rsidTr="00FB4630">
        <w:tc>
          <w:tcPr>
            <w:tcW w:w="3001" w:type="dxa"/>
            <w:vAlign w:val="center"/>
          </w:tcPr>
          <w:p w14:paraId="0D1E4224" w14:textId="7595BE50" w:rsidR="00114ABC" w:rsidRDefault="00114ABC" w:rsidP="00FB4630">
            <w:pPr>
              <w:pStyle w:val="2"/>
              <w:adjustRightInd w:val="0"/>
              <w:snapToGrid w:val="0"/>
              <w:spacing w:before="0" w:after="0" w:line="240" w:lineRule="auto"/>
              <w:jc w:val="center"/>
              <w:outlineLvl w:val="1"/>
              <w:rPr>
                <w:rFonts w:ascii="Times New Roman" w:eastAsia="仿宋_GB2312" w:hAnsi="Times New Roman" w:cs="Times New Roman"/>
                <w:b w:val="0"/>
                <w:bCs w:val="0"/>
                <w:kern w:val="2"/>
                <w:szCs w:val="24"/>
              </w:rPr>
            </w:pPr>
            <w:r w:rsidRPr="0017445D">
              <w:rPr>
                <w:rFonts w:ascii="Times New Roman" w:eastAsia="仿宋_GB2312" w:hAnsi="Times New Roman" w:cs="Times New Roman" w:hint="eastAsia"/>
                <w:b w:val="0"/>
                <w:bCs w:val="0"/>
                <w:kern w:val="2"/>
                <w:szCs w:val="24"/>
              </w:rPr>
              <w:t>济南市卫生健康</w:t>
            </w:r>
          </w:p>
          <w:p w14:paraId="1A13E5BF" w14:textId="38A97C43" w:rsidR="00114ABC" w:rsidRPr="00114ABC" w:rsidRDefault="00114ABC" w:rsidP="00FB4630">
            <w:pPr>
              <w:pStyle w:val="2"/>
              <w:adjustRightInd w:val="0"/>
              <w:snapToGrid w:val="0"/>
              <w:spacing w:before="0" w:after="0" w:line="240" w:lineRule="auto"/>
              <w:jc w:val="center"/>
              <w:outlineLvl w:val="1"/>
              <w:rPr>
                <w:rFonts w:ascii="仿宋_GB2312" w:eastAsia="仿宋_GB2312"/>
                <w:b w:val="0"/>
                <w:bCs w:val="0"/>
              </w:rPr>
            </w:pPr>
            <w:r w:rsidRPr="0017445D">
              <w:rPr>
                <w:rFonts w:ascii="Times New Roman" w:eastAsia="仿宋_GB2312" w:hAnsi="Times New Roman" w:cs="Times New Roman" w:hint="eastAsia"/>
                <w:b w:val="0"/>
                <w:bCs w:val="0"/>
                <w:kern w:val="2"/>
                <w:szCs w:val="24"/>
              </w:rPr>
              <w:t>委员会</w:t>
            </w:r>
          </w:p>
        </w:tc>
        <w:tc>
          <w:tcPr>
            <w:tcW w:w="3001" w:type="dxa"/>
            <w:vAlign w:val="center"/>
          </w:tcPr>
          <w:p w14:paraId="08619566" w14:textId="0426B203" w:rsidR="00114ABC" w:rsidRPr="00114ABC" w:rsidRDefault="00114ABC" w:rsidP="00FB4630">
            <w:pPr>
              <w:pStyle w:val="2"/>
              <w:adjustRightInd w:val="0"/>
              <w:snapToGrid w:val="0"/>
              <w:spacing w:before="0" w:after="0" w:line="240" w:lineRule="auto"/>
              <w:jc w:val="center"/>
              <w:outlineLvl w:val="1"/>
              <w:rPr>
                <w:rFonts w:ascii="仿宋_GB2312" w:eastAsia="仿宋_GB2312"/>
                <w:b w:val="0"/>
                <w:bCs w:val="0"/>
              </w:rPr>
            </w:pPr>
            <w:r w:rsidRPr="0017445D">
              <w:rPr>
                <w:rFonts w:ascii="Times New Roman" w:eastAsia="仿宋_GB2312" w:hAnsi="Times New Roman" w:cs="Times New Roman" w:hint="eastAsia"/>
                <w:b w:val="0"/>
                <w:bCs w:val="0"/>
                <w:kern w:val="2"/>
                <w:szCs w:val="24"/>
              </w:rPr>
              <w:t>济南市市场监督</w:t>
            </w:r>
          </w:p>
          <w:p w14:paraId="22AD28B2" w14:textId="69A23AB3" w:rsidR="00114ABC" w:rsidRPr="00114ABC" w:rsidRDefault="00114ABC" w:rsidP="00FB4630">
            <w:pPr>
              <w:pStyle w:val="2"/>
              <w:adjustRightInd w:val="0"/>
              <w:snapToGrid w:val="0"/>
              <w:spacing w:before="0" w:after="0" w:line="240" w:lineRule="auto"/>
              <w:jc w:val="center"/>
              <w:outlineLvl w:val="1"/>
              <w:rPr>
                <w:rFonts w:ascii="仿宋_GB2312" w:eastAsia="仿宋_GB2312"/>
                <w:b w:val="0"/>
                <w:bCs w:val="0"/>
              </w:rPr>
            </w:pPr>
            <w:r w:rsidRPr="0017445D">
              <w:rPr>
                <w:rFonts w:ascii="Times New Roman" w:eastAsia="仿宋_GB2312" w:hAnsi="Times New Roman" w:cs="Times New Roman" w:hint="eastAsia"/>
                <w:b w:val="0"/>
                <w:bCs w:val="0"/>
                <w:kern w:val="2"/>
                <w:szCs w:val="24"/>
              </w:rPr>
              <w:t>管理局</w:t>
            </w:r>
          </w:p>
        </w:tc>
        <w:tc>
          <w:tcPr>
            <w:tcW w:w="3002" w:type="dxa"/>
            <w:vAlign w:val="center"/>
          </w:tcPr>
          <w:p w14:paraId="49E3F599" w14:textId="483883BA" w:rsidR="00114ABC" w:rsidRDefault="00114ABC" w:rsidP="00FB4630">
            <w:pPr>
              <w:pStyle w:val="2"/>
              <w:adjustRightInd w:val="0"/>
              <w:snapToGrid w:val="0"/>
              <w:spacing w:before="0" w:after="0" w:line="240" w:lineRule="auto"/>
              <w:jc w:val="center"/>
              <w:outlineLvl w:val="1"/>
              <w:rPr>
                <w:rFonts w:ascii="Times New Roman" w:eastAsia="仿宋_GB2312" w:hAnsi="Times New Roman" w:cs="Times New Roman"/>
                <w:b w:val="0"/>
                <w:bCs w:val="0"/>
                <w:kern w:val="2"/>
                <w:szCs w:val="24"/>
              </w:rPr>
            </w:pPr>
            <w:r w:rsidRPr="0017445D">
              <w:rPr>
                <w:rFonts w:ascii="Times New Roman" w:eastAsia="仿宋_GB2312" w:hAnsi="Times New Roman" w:cs="Times New Roman" w:hint="eastAsia"/>
                <w:b w:val="0"/>
                <w:bCs w:val="0"/>
                <w:kern w:val="2"/>
                <w:szCs w:val="24"/>
              </w:rPr>
              <w:t>济南市行政审批</w:t>
            </w:r>
          </w:p>
          <w:p w14:paraId="67FF08CE" w14:textId="62F7722C" w:rsidR="00114ABC" w:rsidRPr="00114ABC" w:rsidRDefault="00114ABC" w:rsidP="00FB4630">
            <w:pPr>
              <w:pStyle w:val="2"/>
              <w:adjustRightInd w:val="0"/>
              <w:snapToGrid w:val="0"/>
              <w:spacing w:before="0" w:after="0" w:line="240" w:lineRule="auto"/>
              <w:jc w:val="center"/>
              <w:outlineLvl w:val="1"/>
              <w:rPr>
                <w:rFonts w:ascii="仿宋_GB2312" w:eastAsia="仿宋_GB2312"/>
                <w:b w:val="0"/>
                <w:bCs w:val="0"/>
              </w:rPr>
            </w:pPr>
            <w:r w:rsidRPr="0017445D">
              <w:rPr>
                <w:rFonts w:ascii="Times New Roman" w:eastAsia="仿宋_GB2312" w:hAnsi="Times New Roman" w:cs="Times New Roman" w:hint="eastAsia"/>
                <w:b w:val="0"/>
                <w:bCs w:val="0"/>
                <w:kern w:val="2"/>
                <w:szCs w:val="24"/>
              </w:rPr>
              <w:t>服务局</w:t>
            </w:r>
          </w:p>
        </w:tc>
      </w:tr>
    </w:tbl>
    <w:p w14:paraId="0EB50BF6" w14:textId="6401356C" w:rsidR="00A724B8" w:rsidRDefault="00D4119E" w:rsidP="00114ABC">
      <w:pPr>
        <w:overflowPunct w:val="0"/>
        <w:adjustRightInd w:val="0"/>
        <w:snapToGrid w:val="0"/>
        <w:spacing w:line="400" w:lineRule="exact"/>
        <w:ind w:firstLineChars="1970" w:firstLine="6183"/>
        <w:rPr>
          <w:rFonts w:ascii="仿宋_GB2312" w:hAnsi="仿宋_GB2312" w:cs="仿宋_GB2312"/>
          <w:color w:val="000000" w:themeColor="text1"/>
          <w:kern w:val="0"/>
          <w:shd w:val="clear" w:color="auto" w:fill="FFFFFF"/>
          <w:lang w:bidi="ar"/>
        </w:rPr>
      </w:pPr>
      <w:r w:rsidRPr="0017445D">
        <w:rPr>
          <w:rFonts w:ascii="仿宋_GB2312" w:hint="eastAsia"/>
          <w:szCs w:val="24"/>
        </w:rPr>
        <w:t>2026年1月30</w:t>
      </w:r>
      <w:r>
        <w:rPr>
          <w:rFonts w:hint="eastAsia"/>
          <w:szCs w:val="24"/>
        </w:rPr>
        <w:t>日</w:t>
      </w:r>
    </w:p>
    <w:p w14:paraId="52989589" w14:textId="3CACC3AB" w:rsidR="00A724B8" w:rsidRDefault="00A724B8" w:rsidP="00056276">
      <w:pPr>
        <w:overflowPunct w:val="0"/>
        <w:adjustRightInd w:val="0"/>
        <w:snapToGrid w:val="0"/>
        <w:spacing w:line="592" w:lineRule="exact"/>
        <w:ind w:firstLineChars="200" w:firstLine="628"/>
        <w:rPr>
          <w:rFonts w:ascii="仿宋_GB2312" w:hAnsi="仿宋_GB2312" w:cs="仿宋_GB2312"/>
          <w:color w:val="000000" w:themeColor="text1"/>
          <w:kern w:val="0"/>
          <w:shd w:val="clear" w:color="auto" w:fill="FFFFFF"/>
          <w:lang w:bidi="ar"/>
        </w:rPr>
      </w:pPr>
    </w:p>
    <w:p w14:paraId="2F0D3B0A" w14:textId="7DE419C2" w:rsidR="00A724B8" w:rsidRDefault="009E521B" w:rsidP="001446CF">
      <w:pPr>
        <w:overflowPunct w:val="0"/>
        <w:adjustRightInd w:val="0"/>
        <w:snapToGrid w:val="0"/>
        <w:spacing w:line="592" w:lineRule="exact"/>
        <w:ind w:firstLineChars="200" w:firstLine="628"/>
        <w:rPr>
          <w:rFonts w:ascii="仿宋_GB2312" w:hAnsi="仿宋_GB2312" w:cs="仿宋_GB2312"/>
          <w:color w:val="000000" w:themeColor="text1"/>
          <w:kern w:val="0"/>
          <w:shd w:val="clear" w:color="auto" w:fill="FFFFFF"/>
          <w:lang w:bidi="ar"/>
        </w:rPr>
      </w:pPr>
      <w:r>
        <w:rPr>
          <w:rFonts w:ascii="仿宋_GB2312" w:hAnsi="仿宋_GB2312" w:cs="仿宋_GB2312" w:hint="eastAsia"/>
          <w:color w:val="000000" w:themeColor="text1"/>
          <w:kern w:val="0"/>
          <w:shd w:val="clear" w:color="auto" w:fill="FFFFFF"/>
          <w:lang w:bidi="ar"/>
        </w:rPr>
        <w:t>（此件主动公开）</w:t>
      </w:r>
    </w:p>
    <w:p w14:paraId="0F1DBA19" w14:textId="02790204" w:rsidR="0017445D" w:rsidRDefault="0017445D" w:rsidP="0017445D">
      <w:pPr>
        <w:pStyle w:val="TOC1"/>
        <w:rPr>
          <w:lang w:bidi="ar"/>
        </w:rPr>
      </w:pPr>
    </w:p>
    <w:p w14:paraId="774EF804" w14:textId="2B8DA3DF" w:rsidR="0017445D" w:rsidRDefault="0017445D">
      <w:pPr>
        <w:widowControl/>
        <w:jc w:val="left"/>
        <w:rPr>
          <w:lang w:bidi="ar"/>
        </w:rPr>
      </w:pPr>
      <w:r>
        <w:rPr>
          <w:lang w:bidi="ar"/>
        </w:rPr>
        <w:br w:type="page"/>
      </w:r>
    </w:p>
    <w:p w14:paraId="73D47A80" w14:textId="2B665336" w:rsidR="0017445D" w:rsidRDefault="0017445D" w:rsidP="0017445D">
      <w:pPr>
        <w:rPr>
          <w:lang w:bidi="ar"/>
        </w:rPr>
      </w:pPr>
    </w:p>
    <w:p w14:paraId="0F92FD09" w14:textId="77777777" w:rsidR="0017445D" w:rsidRPr="0017445D" w:rsidRDefault="0017445D" w:rsidP="0017445D">
      <w:pPr>
        <w:pStyle w:val="TOC1"/>
        <w:rPr>
          <w:lang w:bidi="ar"/>
        </w:rPr>
      </w:pPr>
    </w:p>
    <w:p w14:paraId="777F2185" w14:textId="77777777" w:rsidR="00D4119E" w:rsidRDefault="00D4119E" w:rsidP="002C4E67">
      <w:pPr>
        <w:adjustRightInd w:val="0"/>
        <w:snapToGrid w:val="0"/>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济南市基本医保定点医药机构资源配置规划</w:t>
      </w:r>
    </w:p>
    <w:p w14:paraId="6335E705" w14:textId="3553852A" w:rsidR="00D4119E" w:rsidRDefault="00D4119E" w:rsidP="002C4E67">
      <w:pPr>
        <w:adjustRightInd w:val="0"/>
        <w:snapToGrid w:val="0"/>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（2026</w:t>
      </w:r>
      <w:r w:rsidR="002C4E67">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2027年）</w:t>
      </w:r>
    </w:p>
    <w:p w14:paraId="25ECA6D3" w14:textId="77777777" w:rsidR="00D4119E" w:rsidRDefault="00D4119E" w:rsidP="00D4119E"/>
    <w:p w14:paraId="02C8B7BC" w14:textId="77777777" w:rsidR="00D4119E" w:rsidRPr="007343F9" w:rsidRDefault="00D4119E" w:rsidP="002C4E67">
      <w:pPr>
        <w:overflowPunct w:val="0"/>
        <w:adjustRightInd w:val="0"/>
        <w:snapToGrid w:val="0"/>
        <w:spacing w:line="580" w:lineRule="exact"/>
        <w:ind w:firstLineChars="200" w:firstLine="628"/>
        <w:rPr>
          <w:rFonts w:ascii="仿宋_GB2312"/>
          <w:color w:val="000000" w:themeColor="text1"/>
          <w:spacing w:val="-4"/>
        </w:rPr>
      </w:pPr>
      <w:r w:rsidRPr="002C4E67">
        <w:rPr>
          <w:rFonts w:ascii="仿宋_GB2312" w:hint="eastAsia"/>
          <w:color w:val="000000" w:themeColor="text1"/>
        </w:rPr>
        <w:t>为</w:t>
      </w:r>
      <w:r w:rsidRPr="007343F9">
        <w:rPr>
          <w:rFonts w:ascii="仿宋_GB2312" w:hint="eastAsia"/>
          <w:color w:val="000000" w:themeColor="text1"/>
          <w:spacing w:val="-4"/>
        </w:rPr>
        <w:t>贯彻落实《医疗机构医疗保障定点管理暂行办法》（国家医疗保障局令第2号）、《零售药店医疗保障定点管理暂行办法》（国家医疗保障局令第3号）、《国家医疗保障局关于进一步加强医疗保障定点医疗机构管理的通知》（医保发〔2025〕14号）等有关要求，充分发挥医保战略购买作用，推动医药服务供给侧结构性改革，提升医保管理质效，制定济南市基本医保定点医药机构资源配置规划（以下简称《规划》）。</w:t>
      </w:r>
    </w:p>
    <w:p w14:paraId="693D5AEC" w14:textId="77777777" w:rsidR="00D4119E" w:rsidRPr="002C4E67" w:rsidRDefault="00D4119E" w:rsidP="002C4E67">
      <w:pPr>
        <w:overflowPunct w:val="0"/>
        <w:adjustRightInd w:val="0"/>
        <w:snapToGrid w:val="0"/>
        <w:spacing w:line="580" w:lineRule="exact"/>
        <w:ind w:firstLineChars="200" w:firstLine="628"/>
        <w:rPr>
          <w:rFonts w:ascii="黑体" w:eastAsia="黑体" w:hAnsi="黑体" w:cs="黑体"/>
          <w:color w:val="000000" w:themeColor="text1"/>
        </w:rPr>
      </w:pPr>
      <w:r w:rsidRPr="002C4E67">
        <w:rPr>
          <w:rFonts w:ascii="黑体" w:eastAsia="黑体" w:hAnsi="黑体" w:cs="黑体" w:hint="eastAsia"/>
          <w:color w:val="000000" w:themeColor="text1"/>
        </w:rPr>
        <w:t>一、总体要求</w:t>
      </w:r>
    </w:p>
    <w:p w14:paraId="71D5EF58"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（一）指导思想</w:t>
      </w:r>
    </w:p>
    <w:p w14:paraId="374BEB1F"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hint="eastAsia"/>
          <w:color w:val="000000" w:themeColor="text1"/>
        </w:rPr>
        <w:t>以习近平新时代中国特色社会主义思想为指导，深入贯彻党的二十大和二十届历次全会精神，全面落实习近平总书记关于医疗保障工作的重要讲话和重要指示，以人民健康为中心，坚持因地制宜、稳中求进、协同发展，科学合理规划全市基本医保定点医药机构资源配置，持续提升医保治理现代化能力，推进“三医”高质量协同发展，使人民群众有更多获得感、幸福感、安全感。</w:t>
      </w:r>
    </w:p>
    <w:p w14:paraId="7687CA51"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（二）基本原则</w:t>
      </w:r>
    </w:p>
    <w:p w14:paraId="52697F42" w14:textId="77777777" w:rsidR="00D4119E" w:rsidRPr="002C4E67" w:rsidRDefault="00D4119E" w:rsidP="002C4E67">
      <w:pPr>
        <w:overflowPunct w:val="0"/>
        <w:adjustRightInd w:val="0"/>
        <w:snapToGrid w:val="0"/>
        <w:spacing w:line="580" w:lineRule="exact"/>
        <w:ind w:firstLineChars="200" w:firstLine="630"/>
        <w:rPr>
          <w:color w:val="000000" w:themeColor="text1"/>
        </w:rPr>
      </w:pPr>
      <w:r w:rsidRPr="002C4E67">
        <w:rPr>
          <w:rFonts w:hint="eastAsia"/>
          <w:b/>
          <w:bCs/>
          <w:color w:val="000000" w:themeColor="text1"/>
        </w:rPr>
        <w:t>一是坚持以人为本，保障基本需求。</w:t>
      </w:r>
      <w:r w:rsidRPr="002C4E67">
        <w:rPr>
          <w:rFonts w:hint="eastAsia"/>
          <w:color w:val="000000" w:themeColor="text1"/>
        </w:rPr>
        <w:t>立足基本医保制度，明</w:t>
      </w:r>
      <w:r w:rsidRPr="002C4E67">
        <w:rPr>
          <w:rFonts w:hint="eastAsia"/>
          <w:color w:val="000000" w:themeColor="text1"/>
        </w:rPr>
        <w:lastRenderedPageBreak/>
        <w:t>确界定规划范畴。围绕保障参保人基本医药需求，以医疗保障能力为边界，科学合理规划定点医药机构资源总量和结构，保障参保人享有更加公平、便捷和高效的医药卫生服务。</w:t>
      </w:r>
    </w:p>
    <w:p w14:paraId="3443EE4E" w14:textId="77777777" w:rsidR="00D4119E" w:rsidRPr="002C4E67" w:rsidRDefault="00D4119E" w:rsidP="002C4E67">
      <w:pPr>
        <w:overflowPunct w:val="0"/>
        <w:adjustRightInd w:val="0"/>
        <w:snapToGrid w:val="0"/>
        <w:spacing w:line="610" w:lineRule="exact"/>
        <w:ind w:firstLineChars="200" w:firstLine="630"/>
        <w:rPr>
          <w:color w:val="000000" w:themeColor="text1"/>
        </w:rPr>
      </w:pPr>
      <w:r w:rsidRPr="002C4E67">
        <w:rPr>
          <w:rFonts w:hint="eastAsia"/>
          <w:b/>
          <w:bCs/>
          <w:color w:val="000000" w:themeColor="text1"/>
        </w:rPr>
        <w:t>二是坚持统筹兼顾，促进均衡布局。</w:t>
      </w:r>
      <w:r w:rsidRPr="002C4E67">
        <w:rPr>
          <w:rFonts w:hint="eastAsia"/>
          <w:color w:val="000000" w:themeColor="text1"/>
        </w:rPr>
        <w:t>立足省会城市功能定位，统筹考虑当前与长远、公平与效率、发展与安全，兼顾参保人需求、医疗机构发展、医药市场繁荣和医保基金平稳运行，引导优质医疗资源均衡发展，支持机构服务能力提升。</w:t>
      </w:r>
    </w:p>
    <w:p w14:paraId="2D19EC52" w14:textId="77777777" w:rsidR="00D4119E" w:rsidRPr="002C4E67" w:rsidRDefault="00D4119E" w:rsidP="002C4E67">
      <w:pPr>
        <w:overflowPunct w:val="0"/>
        <w:adjustRightInd w:val="0"/>
        <w:snapToGrid w:val="0"/>
        <w:spacing w:line="610" w:lineRule="exact"/>
        <w:ind w:firstLineChars="200" w:firstLine="630"/>
        <w:rPr>
          <w:color w:val="000000" w:themeColor="text1"/>
        </w:rPr>
      </w:pPr>
      <w:r w:rsidRPr="002C4E67">
        <w:rPr>
          <w:rFonts w:hint="eastAsia"/>
          <w:b/>
          <w:bCs/>
          <w:color w:val="000000" w:themeColor="text1"/>
        </w:rPr>
        <w:t>三是坚持前瞻引领，实现协同增效。</w:t>
      </w:r>
      <w:r w:rsidRPr="002C4E67">
        <w:rPr>
          <w:rFonts w:hint="eastAsia"/>
          <w:color w:val="000000" w:themeColor="text1"/>
        </w:rPr>
        <w:t>围绕中国式现代化发展要求，聚焦健康中国，发挥规划的引领作用。加强与建设分级诊疗体系、实施医疗卫生强基工程、深化养老服务改革发展等有效协同，注重与区域卫生规划、经济社会发展规划有序衔接，完善与医保支付、基金监管、协议管理等配套联动。</w:t>
      </w:r>
    </w:p>
    <w:p w14:paraId="568BD24A" w14:textId="77777777" w:rsidR="00D4119E" w:rsidRPr="002C4E67" w:rsidRDefault="00D4119E" w:rsidP="002C4E67">
      <w:pPr>
        <w:overflowPunct w:val="0"/>
        <w:adjustRightInd w:val="0"/>
        <w:snapToGrid w:val="0"/>
        <w:spacing w:line="61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（三）总体目标</w:t>
      </w:r>
    </w:p>
    <w:p w14:paraId="4D0F4C2E" w14:textId="77777777" w:rsidR="00D4119E" w:rsidRPr="002C4E67" w:rsidRDefault="00D4119E" w:rsidP="002C4E67">
      <w:pPr>
        <w:overflowPunct w:val="0"/>
        <w:adjustRightInd w:val="0"/>
        <w:snapToGrid w:val="0"/>
        <w:spacing w:line="610" w:lineRule="exact"/>
        <w:ind w:firstLineChars="200" w:firstLine="628"/>
        <w:rPr>
          <w:rFonts w:ascii="仿宋_GB2312"/>
          <w:color w:val="000000" w:themeColor="text1"/>
        </w:rPr>
      </w:pPr>
      <w:r w:rsidRPr="002C4E67">
        <w:rPr>
          <w:rFonts w:ascii="仿宋_GB2312" w:hint="eastAsia"/>
          <w:color w:val="000000" w:themeColor="text1"/>
        </w:rPr>
        <w:t>以保障参保人基本医药服务需求为核心，统筹兼顾医疗保障能力和医药卫生事业发展，科学规划、稳步调整全市基本医保定点医药机构资源。到2027年末，初步形成总量适宜、结构优化、动态调整、协同高效的定点医药机构资源配置格局。提升医保定点管理规范化、体系化、数智化水平，构建与新时代群众基本医疗保障需求相适应、与基本医疗保障能力相匹配、与健康中国建设相协同的定点医药卫生服务体系，更好地维护参保人医疗保障权益。</w:t>
      </w:r>
    </w:p>
    <w:p w14:paraId="5EEA5EBF" w14:textId="77777777" w:rsidR="00D4119E" w:rsidRPr="002C4E67" w:rsidRDefault="00D4119E" w:rsidP="002C4E67">
      <w:pPr>
        <w:overflowPunct w:val="0"/>
        <w:adjustRightInd w:val="0"/>
        <w:snapToGrid w:val="0"/>
        <w:spacing w:line="610" w:lineRule="exact"/>
        <w:ind w:firstLineChars="200" w:firstLine="628"/>
        <w:rPr>
          <w:rFonts w:ascii="黑体" w:eastAsia="黑体" w:hAnsi="黑体" w:cs="黑体"/>
          <w:color w:val="000000" w:themeColor="text1"/>
        </w:rPr>
      </w:pPr>
      <w:r w:rsidRPr="002C4E67">
        <w:rPr>
          <w:rFonts w:ascii="黑体" w:eastAsia="黑体" w:hAnsi="黑体" w:cs="黑体" w:hint="eastAsia"/>
          <w:color w:val="000000" w:themeColor="text1"/>
        </w:rPr>
        <w:lastRenderedPageBreak/>
        <w:t>二、规划任务</w:t>
      </w:r>
    </w:p>
    <w:p w14:paraId="60419DA7"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（一）定点医疗机构资源配置</w:t>
      </w:r>
    </w:p>
    <w:p w14:paraId="5049E875" w14:textId="77777777" w:rsidR="00D4119E" w:rsidRPr="002C4E67" w:rsidRDefault="00D4119E" w:rsidP="002C4E67">
      <w:pPr>
        <w:overflowPunct w:val="0"/>
        <w:adjustRightInd w:val="0"/>
        <w:snapToGrid w:val="0"/>
        <w:spacing w:line="580" w:lineRule="exact"/>
        <w:ind w:firstLineChars="200" w:firstLine="630"/>
        <w:rPr>
          <w:rFonts w:ascii="仿宋_GB2312"/>
          <w:b/>
          <w:bCs/>
          <w:color w:val="000000" w:themeColor="text1"/>
        </w:rPr>
      </w:pPr>
      <w:r w:rsidRPr="002C4E67">
        <w:rPr>
          <w:rFonts w:ascii="仿宋_GB2312" w:hint="eastAsia"/>
          <w:b/>
          <w:bCs/>
          <w:color w:val="000000" w:themeColor="text1"/>
        </w:rPr>
        <w:t>1.定点床位规划</w:t>
      </w:r>
    </w:p>
    <w:p w14:paraId="3E67B3B6" w14:textId="3852231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全市基本医保定点床位实施总量管理。参考国家、省、市医药卫生服务体系发展相关规划，我市定点床位资源配置应严控增量、调优存量、提高质量。根据国家医疗保障局基本医保定点床位配置测算方法，结合当前定点床位配置使用实际情况，全市每千名参保人配置床位数稳定在8.5</w:t>
      </w:r>
      <w:r w:rsidR="002C4E67">
        <w:rPr>
          <w:rFonts w:ascii="仿宋_GB2312" w:hint="eastAsia"/>
          <w:color w:val="000000" w:themeColor="text1"/>
        </w:rPr>
        <w:t>—</w:t>
      </w:r>
      <w:r w:rsidRPr="002C4E67">
        <w:rPr>
          <w:rFonts w:ascii="仿宋_GB2312" w:hint="eastAsia"/>
          <w:color w:val="000000" w:themeColor="text1"/>
        </w:rPr>
        <w:t>9.0张。</w:t>
      </w:r>
    </w:p>
    <w:p w14:paraId="2B66137A" w14:textId="01432204"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在定点床位总量控制基础上，优化不同等级医疗机构床位配比。三级、二级、一级及未定级医院床位参照60</w:t>
      </w:r>
      <w:r w:rsidR="002C4E67">
        <w:rPr>
          <w:rFonts w:ascii="仿宋_GB2312" w:hint="eastAsia"/>
          <w:color w:val="000000" w:themeColor="text1"/>
        </w:rPr>
        <w:t>∶</w:t>
      </w:r>
      <w:r w:rsidRPr="002C4E67">
        <w:rPr>
          <w:rFonts w:ascii="仿宋_GB2312" w:hint="eastAsia"/>
          <w:color w:val="000000" w:themeColor="text1"/>
        </w:rPr>
        <w:t>25</w:t>
      </w:r>
      <w:r w:rsidR="002C4E67">
        <w:rPr>
          <w:rFonts w:ascii="仿宋_GB2312" w:hint="eastAsia"/>
          <w:color w:val="000000" w:themeColor="text1"/>
        </w:rPr>
        <w:t>∶</w:t>
      </w:r>
      <w:r w:rsidRPr="002C4E67">
        <w:rPr>
          <w:rFonts w:ascii="仿宋_GB2312" w:hint="eastAsia"/>
          <w:color w:val="000000" w:themeColor="text1"/>
        </w:rPr>
        <w:t>15的比例进行调控。</w:t>
      </w:r>
    </w:p>
    <w:p w14:paraId="0605F84E"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在定点床位总量范围内，优先支持需求大于供给的专业医疗机构按规定纳入新增定点。</w:t>
      </w:r>
    </w:p>
    <w:p w14:paraId="2E1378AB" w14:textId="77777777" w:rsidR="00D4119E" w:rsidRPr="002C4E67" w:rsidRDefault="00D4119E" w:rsidP="002C4E67">
      <w:pPr>
        <w:overflowPunct w:val="0"/>
        <w:adjustRightInd w:val="0"/>
        <w:snapToGrid w:val="0"/>
        <w:spacing w:line="580" w:lineRule="exact"/>
        <w:ind w:firstLineChars="200" w:firstLine="630"/>
        <w:rPr>
          <w:rFonts w:ascii="仿宋_GB2312"/>
          <w:b/>
          <w:bCs/>
          <w:color w:val="000000" w:themeColor="text1"/>
        </w:rPr>
      </w:pPr>
      <w:r w:rsidRPr="002C4E67">
        <w:rPr>
          <w:rFonts w:ascii="仿宋_GB2312" w:hint="eastAsia"/>
          <w:b/>
          <w:bCs/>
          <w:color w:val="000000" w:themeColor="text1"/>
        </w:rPr>
        <w:t>2.定点机构规划</w:t>
      </w:r>
    </w:p>
    <w:p w14:paraId="3C08F1AB"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仅提供基本医保门诊服务的定点医疗机构，城市建成区按照“15分钟服务圈”要求，综合考量实际服务人数、诊疗服务范围等因素确定。有效活动半径范围内原则上不再新增同类型门诊统筹管理的定点医疗机构。</w:t>
      </w:r>
    </w:p>
    <w:p w14:paraId="3E2BF3C7" w14:textId="77777777" w:rsidR="00D4119E" w:rsidRPr="002C4E67" w:rsidRDefault="00D4119E" w:rsidP="002C4E67">
      <w:pPr>
        <w:overflowPunct w:val="0"/>
        <w:adjustRightInd w:val="0"/>
        <w:snapToGrid w:val="0"/>
        <w:spacing w:line="580" w:lineRule="exact"/>
        <w:ind w:firstLineChars="200" w:firstLine="630"/>
        <w:rPr>
          <w:rFonts w:ascii="仿宋_GB2312"/>
          <w:b/>
          <w:bCs/>
          <w:color w:val="000000" w:themeColor="text1"/>
        </w:rPr>
      </w:pPr>
      <w:r w:rsidRPr="002C4E67">
        <w:rPr>
          <w:rFonts w:ascii="仿宋_GB2312" w:hint="eastAsia"/>
          <w:b/>
          <w:bCs/>
          <w:color w:val="000000" w:themeColor="text1"/>
        </w:rPr>
        <w:t>3.其他情况</w:t>
      </w:r>
    </w:p>
    <w:p w14:paraId="3733FE26"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纳入省级、市级重点项目清单的涉及医疗机构项目，可按规定依申请纳入医保定点，原则上不受本规划限制。</w:t>
      </w:r>
    </w:p>
    <w:p w14:paraId="60A9BE03"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承担基本公共卫生服务职能的镇卫生院、社区卫生服务中心</w:t>
      </w:r>
      <w:r w:rsidRPr="002C4E67">
        <w:rPr>
          <w:rFonts w:ascii="仿宋_GB2312" w:hint="eastAsia"/>
          <w:color w:val="000000" w:themeColor="text1"/>
        </w:rPr>
        <w:lastRenderedPageBreak/>
        <w:t>（站）、村卫生室等基层医疗卫生机构，可按规定依申请纳入医保定点，原则上不受本规划限制。</w:t>
      </w:r>
    </w:p>
    <w:p w14:paraId="6AEB5A7F"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专业公共卫生机构，政府办传染病医院、结核病医院和精神病医院，可按规定依申请纳入医保定点，原则上不受本规划限制。</w:t>
      </w:r>
    </w:p>
    <w:p w14:paraId="61FB9912"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ascii="仿宋_GB2312" w:hint="eastAsia"/>
          <w:color w:val="000000" w:themeColor="text1"/>
        </w:rPr>
        <w:t>高校内设医疗卫生机构、仅对内部人员提供服务的各类机关及企事业单位内设医务室，可按规定依申请纳入医保定点，原则上不受本规划限制，不计入本规划。</w:t>
      </w:r>
    </w:p>
    <w:p w14:paraId="0C2C26C7"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（二）定点零售药店资源配置</w:t>
      </w:r>
    </w:p>
    <w:p w14:paraId="14D84E9A"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hint="eastAsia"/>
          <w:color w:val="000000" w:themeColor="text1"/>
        </w:rPr>
        <w:t>实行差异化配置。以服务半径</w:t>
      </w:r>
      <w:r w:rsidRPr="00A61ED6">
        <w:rPr>
          <w:rFonts w:ascii="仿宋_GB2312" w:hint="eastAsia"/>
          <w:color w:val="000000" w:themeColor="text1"/>
        </w:rPr>
        <w:t>800</w:t>
      </w:r>
      <w:r w:rsidRPr="002C4E67">
        <w:rPr>
          <w:rFonts w:hint="eastAsia"/>
          <w:color w:val="000000" w:themeColor="text1"/>
        </w:rPr>
        <w:t>米范围为主要依据，在人口高度密集区域，每服务半径内定点零售药店原则上不超过</w:t>
      </w:r>
      <w:r w:rsidRPr="002C4E67">
        <w:rPr>
          <w:rFonts w:ascii="仿宋_GB2312" w:hint="eastAsia"/>
          <w:color w:val="000000" w:themeColor="text1"/>
        </w:rPr>
        <w:t>3</w:t>
      </w:r>
      <w:r w:rsidRPr="002C4E67">
        <w:rPr>
          <w:rFonts w:hint="eastAsia"/>
          <w:color w:val="000000" w:themeColor="text1"/>
        </w:rPr>
        <w:t>家；其他区域不超过</w:t>
      </w:r>
      <w:r w:rsidRPr="00A61ED6">
        <w:rPr>
          <w:rFonts w:ascii="仿宋_GB2312" w:hint="eastAsia"/>
          <w:color w:val="000000" w:themeColor="text1"/>
        </w:rPr>
        <w:t>2</w:t>
      </w:r>
      <w:r w:rsidRPr="002C4E67">
        <w:rPr>
          <w:rFonts w:hint="eastAsia"/>
          <w:color w:val="000000" w:themeColor="text1"/>
        </w:rPr>
        <w:t>家。超过本规划标准的，不再新增定点。</w:t>
      </w:r>
    </w:p>
    <w:p w14:paraId="494C2729"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（三）定点机构动态管理</w:t>
      </w:r>
    </w:p>
    <w:p w14:paraId="09873919" w14:textId="77777777" w:rsidR="00D4119E" w:rsidRPr="002C4E67" w:rsidRDefault="00D4119E" w:rsidP="002C4E67">
      <w:pPr>
        <w:overflowPunct w:val="0"/>
        <w:adjustRightInd w:val="0"/>
        <w:snapToGrid w:val="0"/>
        <w:spacing w:line="580" w:lineRule="exact"/>
        <w:ind w:firstLineChars="200" w:firstLine="630"/>
        <w:rPr>
          <w:rFonts w:ascii="仿宋_GB2312"/>
          <w:b/>
          <w:bCs/>
          <w:color w:val="000000" w:themeColor="text1"/>
        </w:rPr>
      </w:pPr>
      <w:r w:rsidRPr="002C4E67">
        <w:rPr>
          <w:rFonts w:ascii="仿宋_GB2312" w:hint="eastAsia"/>
          <w:b/>
          <w:bCs/>
          <w:color w:val="000000" w:themeColor="text1"/>
        </w:rPr>
        <w:t>1.基于总量调控准入</w:t>
      </w:r>
    </w:p>
    <w:p w14:paraId="23A62875"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全市现有定点医药机构资源配置超过规划目标的，原则上不再新增定点。区县（功能区）域内定点医药机构资源配置低于本区县（功能区）测算值的，可根据全市定点退出医保协议管理的情况合理确定准入。</w:t>
      </w:r>
    </w:p>
    <w:p w14:paraId="386AE912"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“15分钟服务圈”有同等级同类型的定点医疗机构，原则上不再新增定点。</w:t>
      </w:r>
    </w:p>
    <w:p w14:paraId="787C25D6"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提供基本医保住院服务的定点医疗机构新建分院，应符合区域定点床位规划总量要求。</w:t>
      </w:r>
    </w:p>
    <w:p w14:paraId="4DC47BD3"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定点医药机构变更地址，应符合资源配置规划总量要求，并</w:t>
      </w:r>
      <w:r w:rsidRPr="002C4E67">
        <w:rPr>
          <w:rFonts w:ascii="仿宋_GB2312" w:hint="eastAsia"/>
          <w:color w:val="000000" w:themeColor="text1"/>
        </w:rPr>
        <w:lastRenderedPageBreak/>
        <w:t>按规定重新申请纳入医保定点。因政府规划原因变更地址且迁址后未跨区县（功能区），同时符合资源配置规划要求的除外；定点零售药店变更地址距离未超过800米服务半径且未跨区县（功能区）的除外。</w:t>
      </w:r>
    </w:p>
    <w:p w14:paraId="05CF3BE0"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职工基本医疗保险或城乡居民基本医疗保险统筹基金当期收不抵支或收到上级医保部门基金运行预警函，原则上不再新增定点医药机构。</w:t>
      </w:r>
    </w:p>
    <w:p w14:paraId="7A38BB44" w14:textId="77777777" w:rsidR="00D4119E" w:rsidRPr="002C4E67" w:rsidRDefault="00D4119E" w:rsidP="002C4E67">
      <w:pPr>
        <w:overflowPunct w:val="0"/>
        <w:adjustRightInd w:val="0"/>
        <w:snapToGrid w:val="0"/>
        <w:spacing w:line="580" w:lineRule="exact"/>
        <w:ind w:firstLineChars="200" w:firstLine="630"/>
        <w:rPr>
          <w:rFonts w:ascii="仿宋_GB2312"/>
          <w:b/>
          <w:bCs/>
          <w:color w:val="000000" w:themeColor="text1"/>
        </w:rPr>
      </w:pPr>
      <w:r w:rsidRPr="002C4E67">
        <w:rPr>
          <w:rFonts w:ascii="仿宋_GB2312" w:hint="eastAsia"/>
          <w:b/>
          <w:bCs/>
          <w:color w:val="000000" w:themeColor="text1"/>
        </w:rPr>
        <w:t>2.供需导向优化增量</w:t>
      </w:r>
    </w:p>
    <w:p w14:paraId="6D751710" w14:textId="77777777" w:rsidR="00D4119E" w:rsidRPr="002C4E67" w:rsidRDefault="00D4119E" w:rsidP="002C4E67">
      <w:pPr>
        <w:overflowPunct w:val="0"/>
        <w:adjustRightInd w:val="0"/>
        <w:snapToGrid w:val="0"/>
        <w:spacing w:line="580" w:lineRule="exact"/>
        <w:ind w:firstLineChars="200" w:firstLine="628"/>
        <w:rPr>
          <w:rFonts w:ascii="仿宋_GB2312"/>
          <w:color w:val="000000" w:themeColor="text1"/>
        </w:rPr>
      </w:pPr>
      <w:r w:rsidRPr="002C4E67">
        <w:rPr>
          <w:rFonts w:ascii="仿宋_GB2312" w:hint="eastAsia"/>
          <w:color w:val="000000" w:themeColor="text1"/>
        </w:rPr>
        <w:t>分级分类设置定点医疗机构资源配置效率指标，研判供需平衡状况。需求大于供给的，根据全市定点床位总量规划，优先纳入</w:t>
      </w:r>
      <w:r w:rsidRPr="002C4E67">
        <w:rPr>
          <w:rFonts w:ascii="仿宋_GB2312" w:hint="eastAsia"/>
          <w:color w:val="000000" w:themeColor="text1"/>
          <w:spacing w:val="-4"/>
        </w:rPr>
        <w:t>新增医保定点；供给大于需求的，原则上不再新增同类医保定点。</w:t>
      </w:r>
    </w:p>
    <w:p w14:paraId="4002A84A" w14:textId="77777777" w:rsidR="00D4119E" w:rsidRPr="002C4E67" w:rsidRDefault="00D4119E" w:rsidP="002C4E67">
      <w:pPr>
        <w:overflowPunct w:val="0"/>
        <w:adjustRightInd w:val="0"/>
        <w:snapToGrid w:val="0"/>
        <w:spacing w:line="580" w:lineRule="exact"/>
        <w:ind w:firstLineChars="200" w:firstLine="630"/>
        <w:rPr>
          <w:rFonts w:ascii="仿宋_GB2312"/>
          <w:b/>
          <w:bCs/>
          <w:color w:val="000000" w:themeColor="text1"/>
        </w:rPr>
      </w:pPr>
      <w:r w:rsidRPr="002C4E67">
        <w:rPr>
          <w:rFonts w:ascii="仿宋_GB2312" w:hint="eastAsia"/>
          <w:b/>
          <w:bCs/>
          <w:color w:val="000000" w:themeColor="text1"/>
        </w:rPr>
        <w:t>3.结合评估调整存量</w:t>
      </w:r>
    </w:p>
    <w:p w14:paraId="40FEF2E1"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ascii="仿宋_GB2312" w:hint="eastAsia"/>
          <w:color w:val="000000" w:themeColor="text1"/>
        </w:rPr>
        <w:t>持续监测定点医药机构总量结构、空间布局、运行效率、服务提供和基金运行等情况，定期开展资源配置效率评估。对于资源配置效率明显低于或高于同等级同类型医疗机构的，引导医疗机构根据功能定位优化住院和门诊服务资源配置。</w:t>
      </w:r>
    </w:p>
    <w:p w14:paraId="0FB86CF8" w14:textId="77777777" w:rsidR="00D4119E" w:rsidRPr="002C4E67" w:rsidRDefault="00D4119E" w:rsidP="002C4E67">
      <w:pPr>
        <w:overflowPunct w:val="0"/>
        <w:adjustRightInd w:val="0"/>
        <w:snapToGrid w:val="0"/>
        <w:spacing w:line="580" w:lineRule="exact"/>
        <w:ind w:firstLineChars="200" w:firstLine="628"/>
        <w:rPr>
          <w:rFonts w:ascii="黑体" w:eastAsia="黑体" w:hAnsi="黑体" w:cs="黑体"/>
          <w:color w:val="000000" w:themeColor="text1"/>
        </w:rPr>
      </w:pPr>
      <w:r w:rsidRPr="002C4E67">
        <w:rPr>
          <w:rFonts w:ascii="黑体" w:eastAsia="黑体" w:hAnsi="黑体" w:cs="黑体" w:hint="eastAsia"/>
          <w:color w:val="000000" w:themeColor="text1"/>
        </w:rPr>
        <w:t>三、组织实施</w:t>
      </w:r>
    </w:p>
    <w:p w14:paraId="313927A8"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 xml:space="preserve">（一）加强组织领导 </w:t>
      </w:r>
    </w:p>
    <w:p w14:paraId="78B32F65"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hint="eastAsia"/>
          <w:color w:val="000000" w:themeColor="text1"/>
        </w:rPr>
        <w:t>各级医疗保障部门要高度重视基本医保定点医药机构资源配置规划工作，切实履行主体责任，确保改革平稳推进。市级医疗保障行政部门负责全市《规划》编制工作；区县（功能区）医疗保障行政部门负责辖区内《规划》实施工作。市级医保经办机</w:t>
      </w:r>
      <w:r w:rsidRPr="002C4E67">
        <w:rPr>
          <w:rFonts w:hint="eastAsia"/>
          <w:color w:val="000000" w:themeColor="text1"/>
        </w:rPr>
        <w:lastRenderedPageBreak/>
        <w:t>构负责完善配套措施，编制全市定点医药机构年度配置计划等工作；各级医保经办机构按照管理范围和权限做好《规划》落地实施相关工作。</w:t>
      </w:r>
    </w:p>
    <w:p w14:paraId="0D2E2DF4" w14:textId="77777777" w:rsidR="00D4119E" w:rsidRPr="002C4E67" w:rsidRDefault="00D4119E" w:rsidP="002C4E67">
      <w:pPr>
        <w:overflowPunct w:val="0"/>
        <w:adjustRightInd w:val="0"/>
        <w:snapToGrid w:val="0"/>
        <w:spacing w:line="56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（二）深化部门协同</w:t>
      </w:r>
    </w:p>
    <w:p w14:paraId="3FA5B1A6" w14:textId="77777777" w:rsidR="00D4119E" w:rsidRPr="002C4E67" w:rsidRDefault="00D4119E" w:rsidP="002C4E67">
      <w:pPr>
        <w:overflowPunct w:val="0"/>
        <w:adjustRightInd w:val="0"/>
        <w:snapToGrid w:val="0"/>
        <w:spacing w:line="560" w:lineRule="exact"/>
        <w:ind w:firstLineChars="200" w:firstLine="628"/>
        <w:rPr>
          <w:color w:val="000000" w:themeColor="text1"/>
        </w:rPr>
      </w:pPr>
      <w:r w:rsidRPr="002C4E67">
        <w:rPr>
          <w:rFonts w:hint="eastAsia"/>
          <w:color w:val="000000" w:themeColor="text1"/>
        </w:rPr>
        <w:t>强化定点医药机构资源配置规划与区域卫生规划、医药产业规划的协同，提升《规划》的科学性和可行性。加强医保与卫生健康、市场监管、发展改革、财政、行政审批等部门沟通协调，凝聚工作合力，促进《规划》有序实施。推动跨部门数据共享，为《规划》制定、调整和实施提供必要支撑。</w:t>
      </w:r>
    </w:p>
    <w:p w14:paraId="529CF622" w14:textId="77777777" w:rsidR="00D4119E" w:rsidRPr="002C4E67" w:rsidRDefault="00D4119E" w:rsidP="002C4E67">
      <w:pPr>
        <w:overflowPunct w:val="0"/>
        <w:adjustRightInd w:val="0"/>
        <w:snapToGrid w:val="0"/>
        <w:spacing w:line="56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（三）强化数智赋能</w:t>
      </w:r>
    </w:p>
    <w:p w14:paraId="669094BE" w14:textId="0943B3A2" w:rsidR="00D4119E" w:rsidRPr="002C4E67" w:rsidRDefault="00D4119E" w:rsidP="002C4E67">
      <w:pPr>
        <w:overflowPunct w:val="0"/>
        <w:adjustRightInd w:val="0"/>
        <w:snapToGrid w:val="0"/>
        <w:spacing w:line="560" w:lineRule="exact"/>
        <w:ind w:firstLineChars="200" w:firstLine="628"/>
        <w:rPr>
          <w:color w:val="000000" w:themeColor="text1"/>
        </w:rPr>
      </w:pPr>
      <w:r w:rsidRPr="002C4E67">
        <w:rPr>
          <w:rFonts w:hint="eastAsia"/>
          <w:color w:val="000000" w:themeColor="text1"/>
        </w:rPr>
        <w:t>依托全省统一的医保信息平台，结合济南市医保数字化建设，强化三医协同共享机制，建设定点医药机构资源配置分析系统。完善定点医药机构面积、床位、人员等基本信息采集机制，动态掌握资源配置变动情况。强化大数据应用，支持医保资源配置分级分类动态管理，促进系统数据的交互集成，提升医保治理智能化、精细化水平。</w:t>
      </w:r>
    </w:p>
    <w:p w14:paraId="53A7294B" w14:textId="77777777" w:rsidR="00D4119E" w:rsidRPr="002C4E67" w:rsidRDefault="00D4119E" w:rsidP="002C4E67">
      <w:pPr>
        <w:overflowPunct w:val="0"/>
        <w:adjustRightInd w:val="0"/>
        <w:snapToGrid w:val="0"/>
        <w:spacing w:line="56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t>（四）完善配套措施</w:t>
      </w:r>
    </w:p>
    <w:p w14:paraId="4EE80E24" w14:textId="77777777" w:rsidR="00D4119E" w:rsidRPr="002C4E67" w:rsidRDefault="00D4119E" w:rsidP="002C4E67">
      <w:pPr>
        <w:overflowPunct w:val="0"/>
        <w:adjustRightInd w:val="0"/>
        <w:snapToGrid w:val="0"/>
        <w:spacing w:line="560" w:lineRule="exact"/>
        <w:ind w:firstLineChars="200" w:firstLine="628"/>
        <w:rPr>
          <w:color w:val="000000" w:themeColor="text1"/>
        </w:rPr>
      </w:pPr>
      <w:r w:rsidRPr="002C4E67">
        <w:rPr>
          <w:rFonts w:hint="eastAsia"/>
          <w:color w:val="000000" w:themeColor="text1"/>
        </w:rPr>
        <w:t>健全定点医药机构动态管理机制，优化申报、准入、评估、变更和退出等经办流程。适时发布定向新增定点医药机构的级别和类型，支持具备资质的定点医疗机构调整院内资源配置结构或转型补充短缺医疗资源。持续开展《规划》实施情况、资源使用效率、医保基金支付等监测分析，强化资源配置管理与定点准入、考核评价、医保支付等联动。</w:t>
      </w:r>
    </w:p>
    <w:p w14:paraId="37736A7F" w14:textId="77777777" w:rsidR="00D4119E" w:rsidRPr="002C4E67" w:rsidRDefault="00D4119E" w:rsidP="002C4E67">
      <w:pPr>
        <w:overflowPunct w:val="0"/>
        <w:adjustRightInd w:val="0"/>
        <w:snapToGrid w:val="0"/>
        <w:spacing w:line="580" w:lineRule="exact"/>
        <w:ind w:firstLineChars="200" w:firstLine="628"/>
        <w:rPr>
          <w:rFonts w:ascii="楷体_GB2312" w:eastAsia="楷体_GB2312" w:hAnsi="楷体_GB2312" w:cs="楷体_GB2312"/>
          <w:color w:val="000000" w:themeColor="text1"/>
        </w:rPr>
      </w:pPr>
      <w:r w:rsidRPr="002C4E67">
        <w:rPr>
          <w:rFonts w:ascii="楷体_GB2312" w:eastAsia="楷体_GB2312" w:hAnsi="楷体_GB2312" w:cs="楷体_GB2312" w:hint="eastAsia"/>
          <w:color w:val="000000" w:themeColor="text1"/>
        </w:rPr>
        <w:lastRenderedPageBreak/>
        <w:t>（五）注重宣传引导</w:t>
      </w:r>
    </w:p>
    <w:p w14:paraId="61C967CC"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hint="eastAsia"/>
          <w:color w:val="000000" w:themeColor="text1"/>
        </w:rPr>
        <w:t>用好医保数据工作组机制，系统公布基本医保定点医药机构资源配置状况和动态调整情况。及时回应社会关切，有效引导各方预期，凝聚社会共识，为《规划》顺利推进与有效实施营造良好的改革环境。</w:t>
      </w:r>
    </w:p>
    <w:p w14:paraId="069FD8E6" w14:textId="77777777" w:rsidR="00D4119E" w:rsidRPr="002C4E67" w:rsidRDefault="00D4119E" w:rsidP="002C4E67">
      <w:pPr>
        <w:overflowPunct w:val="0"/>
        <w:adjustRightInd w:val="0"/>
        <w:snapToGrid w:val="0"/>
        <w:spacing w:line="580" w:lineRule="exact"/>
        <w:ind w:firstLineChars="200" w:firstLine="628"/>
        <w:rPr>
          <w:color w:val="000000" w:themeColor="text1"/>
        </w:rPr>
      </w:pPr>
      <w:r w:rsidRPr="002C4E67">
        <w:rPr>
          <w:rFonts w:hint="eastAsia"/>
          <w:color w:val="000000" w:themeColor="text1"/>
        </w:rPr>
        <w:t>本规划正式发布前正式运营满三个月的医药机构，暂不受本规划限制。</w:t>
      </w:r>
    </w:p>
    <w:p w14:paraId="476FCDD4" w14:textId="15FE3BC2" w:rsidR="00A724B8" w:rsidRDefault="00D4119E" w:rsidP="002C4E67">
      <w:pPr>
        <w:overflowPunct w:val="0"/>
        <w:adjustRightInd w:val="0"/>
        <w:snapToGrid w:val="0"/>
        <w:spacing w:line="580" w:lineRule="exact"/>
        <w:ind w:firstLineChars="200" w:firstLine="628"/>
        <w:rPr>
          <w:color w:val="000000" w:themeColor="text1"/>
        </w:rPr>
      </w:pPr>
      <w:r w:rsidRPr="002C4E67">
        <w:rPr>
          <w:rFonts w:hint="eastAsia"/>
          <w:color w:val="000000" w:themeColor="text1"/>
        </w:rPr>
        <w:t>本规划自发布之日起实施。《规划》实施过程中，国家和省有新规定的，从其规定。市级医疗保障行政部门可根据国家、省有关政策，我市经济社会发展实际，以及医保事业高质量发展的工作要求，对本规划进行适时调整。</w:t>
      </w:r>
    </w:p>
    <w:p w14:paraId="2738177B" w14:textId="77777777" w:rsidR="00A724B8" w:rsidRDefault="00A724B8">
      <w:pPr>
        <w:rPr>
          <w:color w:val="000000" w:themeColor="text1"/>
        </w:rPr>
      </w:pPr>
    </w:p>
    <w:p w14:paraId="2DE99EE1" w14:textId="77777777" w:rsidR="00A724B8" w:rsidRDefault="00A724B8">
      <w:pPr>
        <w:pStyle w:val="TOC1"/>
        <w:rPr>
          <w:color w:val="000000" w:themeColor="text1"/>
        </w:rPr>
      </w:pPr>
    </w:p>
    <w:p w14:paraId="7680E55E" w14:textId="77777777" w:rsidR="00A724B8" w:rsidRDefault="00A724B8">
      <w:pPr>
        <w:rPr>
          <w:color w:val="000000" w:themeColor="text1"/>
        </w:rPr>
      </w:pPr>
    </w:p>
    <w:p w14:paraId="21F414B4" w14:textId="77777777" w:rsidR="00A724B8" w:rsidRDefault="00A724B8">
      <w:pPr>
        <w:adjustRightInd w:val="0"/>
        <w:snapToGrid w:val="0"/>
        <w:rPr>
          <w:rFonts w:ascii="黑体" w:eastAsia="黑体" w:hAnsi="黑体"/>
          <w:color w:val="000000" w:themeColor="text1"/>
        </w:rPr>
      </w:pPr>
    </w:p>
    <w:p w14:paraId="2BCAF524" w14:textId="77777777" w:rsidR="00A724B8" w:rsidRDefault="00A724B8">
      <w:pPr>
        <w:adjustRightInd w:val="0"/>
        <w:snapToGrid w:val="0"/>
        <w:rPr>
          <w:rFonts w:ascii="黑体" w:eastAsia="黑体" w:hAnsi="黑体"/>
          <w:color w:val="000000" w:themeColor="text1"/>
        </w:rPr>
      </w:pPr>
    </w:p>
    <w:p w14:paraId="4EA7B14C" w14:textId="77777777" w:rsidR="00A724B8" w:rsidRDefault="00A724B8">
      <w:pPr>
        <w:pStyle w:val="TOC1"/>
        <w:rPr>
          <w:rFonts w:ascii="黑体" w:eastAsia="黑体" w:hAnsi="黑体"/>
          <w:color w:val="000000" w:themeColor="text1"/>
        </w:rPr>
      </w:pPr>
    </w:p>
    <w:p w14:paraId="54BB6CA6" w14:textId="55473A1F" w:rsidR="00A724B8" w:rsidRDefault="00A724B8">
      <w:pPr>
        <w:rPr>
          <w:rFonts w:ascii="黑体" w:eastAsia="黑体" w:hAnsi="黑体"/>
          <w:color w:val="000000" w:themeColor="text1"/>
        </w:rPr>
      </w:pPr>
    </w:p>
    <w:p w14:paraId="288D9D64" w14:textId="5BDBCEE8" w:rsidR="002C4E67" w:rsidRDefault="002C4E67" w:rsidP="002C4E67">
      <w:pPr>
        <w:pStyle w:val="TOC1"/>
      </w:pPr>
    </w:p>
    <w:p w14:paraId="1A9D825C" w14:textId="279EC25D" w:rsidR="002C4E67" w:rsidRDefault="002C4E67" w:rsidP="002C4E67"/>
    <w:p w14:paraId="10933371" w14:textId="7A293EBA" w:rsidR="002C4E67" w:rsidRDefault="002C4E67" w:rsidP="002C4E67">
      <w:pPr>
        <w:pStyle w:val="TOC1"/>
      </w:pPr>
    </w:p>
    <w:p w14:paraId="1B586D1E" w14:textId="2A5EE201" w:rsidR="002C4E67" w:rsidRDefault="002C4E67" w:rsidP="002C4E67"/>
    <w:p w14:paraId="15110C7E" w14:textId="4A19063B" w:rsidR="002C4E67" w:rsidRDefault="002C4E67" w:rsidP="002C4E67">
      <w:pPr>
        <w:pStyle w:val="TOC1"/>
      </w:pPr>
    </w:p>
    <w:p w14:paraId="3D10D1B6" w14:textId="494A0982" w:rsidR="002C4E67" w:rsidRDefault="002C4E67" w:rsidP="002C4E67"/>
    <w:p w14:paraId="385BAAA0" w14:textId="2FAD9345" w:rsidR="002C4E67" w:rsidRDefault="002C4E67" w:rsidP="002C4E67">
      <w:pPr>
        <w:pStyle w:val="TOC1"/>
      </w:pPr>
    </w:p>
    <w:p w14:paraId="30F77B0F" w14:textId="2138C2BF" w:rsidR="002C4E67" w:rsidRDefault="002C4E67" w:rsidP="002C4E67"/>
    <w:p w14:paraId="1993DA21" w14:textId="5823D511" w:rsidR="002C4E67" w:rsidRDefault="002C4E67" w:rsidP="002C4E67">
      <w:pPr>
        <w:pStyle w:val="TOC1"/>
      </w:pPr>
    </w:p>
    <w:p w14:paraId="71B1C60A" w14:textId="4C0757CE" w:rsidR="002C4E67" w:rsidRDefault="002C4E67" w:rsidP="002C4E67"/>
    <w:p w14:paraId="50C06283" w14:textId="7F900BE9" w:rsidR="002C4E67" w:rsidRDefault="002C4E67" w:rsidP="002C4E67">
      <w:pPr>
        <w:pStyle w:val="TOC1"/>
      </w:pPr>
    </w:p>
    <w:p w14:paraId="5425DF0E" w14:textId="4BEB0E34" w:rsidR="002C4E67" w:rsidRDefault="002C4E67" w:rsidP="002C4E67"/>
    <w:p w14:paraId="138CACDF" w14:textId="16D0A189" w:rsidR="002C4E67" w:rsidRDefault="002C4E67" w:rsidP="002C4E67">
      <w:pPr>
        <w:pStyle w:val="TOC1"/>
      </w:pPr>
    </w:p>
    <w:p w14:paraId="5CD1B2ED" w14:textId="73CA03BD" w:rsidR="002C4E67" w:rsidRDefault="002C4E67" w:rsidP="002C4E67"/>
    <w:p w14:paraId="27FE5B1A" w14:textId="63F9CE95" w:rsidR="002C4E67" w:rsidRDefault="002C4E67" w:rsidP="002C4E67">
      <w:pPr>
        <w:pStyle w:val="TOC1"/>
      </w:pPr>
    </w:p>
    <w:p w14:paraId="017717AE" w14:textId="50D410C1" w:rsidR="002C4E67" w:rsidRDefault="002C4E67" w:rsidP="002C4E67"/>
    <w:p w14:paraId="72938BD6" w14:textId="0573C35E" w:rsidR="002C4E67" w:rsidRPr="009C7E8B" w:rsidRDefault="002C4E67" w:rsidP="002C4E67">
      <w:pPr>
        <w:pStyle w:val="TOC1"/>
      </w:pPr>
    </w:p>
    <w:p w14:paraId="410C626D" w14:textId="1328C744" w:rsidR="002C4E67" w:rsidRDefault="002C4E67" w:rsidP="002C4E67"/>
    <w:p w14:paraId="1E71431D" w14:textId="7A2866FB" w:rsidR="002C4E67" w:rsidRDefault="002C4E67" w:rsidP="002C4E67">
      <w:pPr>
        <w:pStyle w:val="TOC1"/>
      </w:pPr>
    </w:p>
    <w:p w14:paraId="7B0394E7" w14:textId="77777777" w:rsidR="002C4E67" w:rsidRPr="002C4E67" w:rsidRDefault="002C4E67" w:rsidP="002C4E67"/>
    <w:p w14:paraId="3543FB2A" w14:textId="77777777" w:rsidR="00A724B8" w:rsidRDefault="00A724B8">
      <w:pPr>
        <w:pStyle w:val="TOC1"/>
        <w:rPr>
          <w:color w:val="000000" w:themeColor="text1"/>
        </w:rPr>
      </w:pPr>
    </w:p>
    <w:p w14:paraId="0C075274" w14:textId="77777777" w:rsidR="00A724B8" w:rsidRDefault="00A724B8">
      <w:pPr>
        <w:pStyle w:val="TOC1"/>
        <w:rPr>
          <w:rFonts w:ascii="黑体" w:eastAsia="黑体" w:hAnsi="黑体"/>
          <w:color w:val="000000" w:themeColor="text1"/>
        </w:rPr>
      </w:pPr>
    </w:p>
    <w:p w14:paraId="0FF2D79A" w14:textId="77777777" w:rsidR="00A724B8" w:rsidRDefault="00A724B8">
      <w:pPr>
        <w:rPr>
          <w:rFonts w:ascii="黑体" w:eastAsia="黑体" w:hAnsi="黑体"/>
          <w:color w:val="000000" w:themeColor="text1"/>
        </w:rPr>
      </w:pPr>
    </w:p>
    <w:p w14:paraId="7245EFE8" w14:textId="431888E3" w:rsidR="00A724B8" w:rsidRDefault="00A724B8">
      <w:pPr>
        <w:pStyle w:val="TOC1"/>
        <w:rPr>
          <w:rFonts w:ascii="黑体" w:eastAsia="黑体" w:hAnsi="黑体"/>
          <w:color w:val="000000" w:themeColor="text1"/>
        </w:rPr>
      </w:pPr>
    </w:p>
    <w:p w14:paraId="001183A2" w14:textId="77777777" w:rsidR="00A724B8" w:rsidRDefault="00A724B8">
      <w:pPr>
        <w:rPr>
          <w:color w:val="000000" w:themeColor="text1"/>
        </w:rPr>
      </w:pPr>
    </w:p>
    <w:p w14:paraId="3AF38424" w14:textId="77777777" w:rsidR="00A724B8" w:rsidRDefault="00A724B8">
      <w:pPr>
        <w:adjustRightInd w:val="0"/>
        <w:snapToGrid w:val="0"/>
        <w:rPr>
          <w:rFonts w:ascii="黑体" w:eastAsia="黑体" w:hAnsi="黑体"/>
          <w:color w:val="000000" w:themeColor="text1"/>
        </w:rPr>
      </w:pPr>
    </w:p>
    <w:tbl>
      <w:tblPr>
        <w:tblW w:w="8844" w:type="dxa"/>
        <w:jc w:val="center"/>
        <w:tblBorders>
          <w:top w:val="single" w:sz="8" w:space="0" w:color="auto"/>
          <w:bottom w:val="single" w:sz="8" w:space="0" w:color="auto"/>
        </w:tblBorders>
        <w:tblLayout w:type="fixed"/>
        <w:tblLook w:val="04A0" w:firstRow="1" w:lastRow="0" w:firstColumn="1" w:lastColumn="0" w:noHBand="0" w:noVBand="1"/>
      </w:tblPr>
      <w:tblGrid>
        <w:gridCol w:w="8844"/>
      </w:tblGrid>
      <w:tr w:rsidR="00A724B8" w14:paraId="329FECB5" w14:textId="77777777">
        <w:trPr>
          <w:trHeight w:hRule="exact" w:val="567"/>
          <w:jc w:val="center"/>
        </w:trPr>
        <w:tc>
          <w:tcPr>
            <w:tcW w:w="9120" w:type="dxa"/>
          </w:tcPr>
          <w:p w14:paraId="2B212BF4" w14:textId="68B3B6CF" w:rsidR="00A724B8" w:rsidRDefault="000B5CD6">
            <w:pPr>
              <w:pStyle w:val="a6"/>
              <w:adjustRightInd w:val="0"/>
              <w:snapToGrid w:val="0"/>
              <w:spacing w:line="500" w:lineRule="exact"/>
              <w:ind w:leftChars="69" w:left="217" w:rightChars="69" w:right="217"/>
              <w:rPr>
                <w:rFonts w:ascii="仿宋_GB2312" w:hAnsi="Times New Roman"/>
                <w:color w:val="000000" w:themeColor="text1"/>
                <w:sz w:val="28"/>
                <w:szCs w:val="28"/>
              </w:rPr>
            </w:pPr>
            <w:r>
              <w:rPr>
                <w:rFonts w:ascii="仿宋_GB2312" w:hAnsi="Times New Roman" w:hint="eastAsia"/>
                <w:color w:val="000000" w:themeColor="text1"/>
                <w:sz w:val="28"/>
                <w:szCs w:val="28"/>
              </w:rPr>
              <w:t xml:space="preserve">济南市医疗保障局办公室                   </w:t>
            </w:r>
            <w:r>
              <w:rPr>
                <w:rFonts w:ascii="仿宋_GB2312" w:hAnsi="Times New Roman"/>
                <w:color w:val="000000" w:themeColor="text1"/>
                <w:sz w:val="28"/>
                <w:szCs w:val="28"/>
              </w:rPr>
              <w:t>20</w:t>
            </w:r>
            <w:r>
              <w:rPr>
                <w:rFonts w:ascii="仿宋_GB2312" w:hAnsi="Times New Roman" w:hint="eastAsia"/>
                <w:color w:val="000000" w:themeColor="text1"/>
                <w:sz w:val="28"/>
                <w:szCs w:val="28"/>
              </w:rPr>
              <w:t>2</w:t>
            </w:r>
            <w:r w:rsidR="002C4E67">
              <w:rPr>
                <w:rFonts w:ascii="仿宋_GB2312" w:hAnsi="Times New Roman"/>
                <w:color w:val="000000" w:themeColor="text1"/>
                <w:sz w:val="28"/>
                <w:szCs w:val="28"/>
              </w:rPr>
              <w:t>6</w:t>
            </w:r>
            <w:r>
              <w:rPr>
                <w:rFonts w:ascii="仿宋_GB2312" w:hAnsi="Times New Roman"/>
                <w:color w:val="000000" w:themeColor="text1"/>
                <w:sz w:val="28"/>
                <w:szCs w:val="28"/>
              </w:rPr>
              <w:t>年</w:t>
            </w:r>
            <w:r w:rsidR="002C4E67">
              <w:rPr>
                <w:rFonts w:ascii="仿宋_GB2312" w:hAnsi="Times New Roman"/>
                <w:color w:val="000000" w:themeColor="text1"/>
                <w:sz w:val="28"/>
                <w:szCs w:val="28"/>
              </w:rPr>
              <w:t>1</w:t>
            </w:r>
            <w:r>
              <w:rPr>
                <w:rFonts w:ascii="仿宋_GB2312" w:hAnsi="Times New Roman"/>
                <w:color w:val="000000" w:themeColor="text1"/>
                <w:sz w:val="28"/>
                <w:szCs w:val="28"/>
              </w:rPr>
              <w:t>月</w:t>
            </w:r>
            <w:r w:rsidR="00A83F77">
              <w:rPr>
                <w:rFonts w:ascii="仿宋_GB2312" w:hAnsi="Times New Roman"/>
                <w:color w:val="000000" w:themeColor="text1"/>
                <w:sz w:val="28"/>
                <w:szCs w:val="28"/>
              </w:rPr>
              <w:t>30</w:t>
            </w:r>
            <w:r>
              <w:rPr>
                <w:rFonts w:ascii="仿宋_GB2312" w:hAnsi="Times New Roman"/>
                <w:color w:val="000000" w:themeColor="text1"/>
                <w:sz w:val="28"/>
                <w:szCs w:val="28"/>
              </w:rPr>
              <w:t>日</w:t>
            </w:r>
            <w:r>
              <w:rPr>
                <w:rFonts w:ascii="仿宋_GB2312" w:hAnsi="Times New Roman" w:hint="eastAsia"/>
                <w:color w:val="000000" w:themeColor="text1"/>
                <w:sz w:val="28"/>
                <w:szCs w:val="28"/>
              </w:rPr>
              <w:t>印发</w:t>
            </w:r>
          </w:p>
        </w:tc>
      </w:tr>
    </w:tbl>
    <w:p w14:paraId="3C48B704" w14:textId="77777777" w:rsidR="00A724B8" w:rsidRDefault="000B5CD6">
      <w:pPr>
        <w:adjustRightInd w:val="0"/>
        <w:snapToGrid w:val="0"/>
        <w:spacing w:line="40" w:lineRule="exact"/>
        <w:rPr>
          <w:rFonts w:ascii="黑体" w:eastAsia="黑体" w:hAnsi="黑体"/>
          <w:color w:val="000000" w:themeColor="text1"/>
        </w:rPr>
      </w:pPr>
      <w:r>
        <w:rPr>
          <w:noProof/>
        </w:rPr>
        <mc:AlternateContent>
          <mc:Choice Requires="wps">
            <w:drawing>
              <wp:anchor distT="0" distB="0" distL="114300" distR="114300" simplePos="0" relativeHeight="251664384" behindDoc="0" locked="0" layoutInCell="1" allowOverlap="1" wp14:anchorId="664F260D" wp14:editId="0B9673C1">
                <wp:simplePos x="0" y="0"/>
                <wp:positionH relativeFrom="column">
                  <wp:posOffset>4486910</wp:posOffset>
                </wp:positionH>
                <wp:positionV relativeFrom="paragraph">
                  <wp:posOffset>154940</wp:posOffset>
                </wp:positionV>
                <wp:extent cx="1496695" cy="571500"/>
                <wp:effectExtent l="12700" t="12700" r="14605" b="25400"/>
                <wp:wrapNone/>
                <wp:docPr id="1" name="矩形 1"/>
                <wp:cNvGraphicFramePr/>
                <a:graphic xmlns:a="http://schemas.openxmlformats.org/drawingml/2006/main">
                  <a:graphicData uri="http://schemas.microsoft.com/office/word/2010/wordprocessingShape">
                    <wps:wsp>
                      <wps:cNvSpPr/>
                      <wps:spPr>
                        <a:xfrm>
                          <a:off x="5530850" y="9633585"/>
                          <a:ext cx="1496695" cy="57150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09A46A3" id="矩形 1" o:spid="_x0000_s1026" style="position:absolute;left:0;text-align:left;margin-left:353.3pt;margin-top:12.2pt;width:117.85pt;height: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" fillcolor="white [3212]" strokecolor="white [3212]" strokeweight="2pt"/>
            </w:pict>
          </mc:Fallback>
        </mc:AlternateContent>
      </w:r>
    </w:p>
    <w:sectPr w:rsidR="00A724B8">
      <w:headerReference w:type="even" r:id="rId8"/>
      <w:headerReference w:type="default" r:id="rId9"/>
      <w:footerReference w:type="even" r:id="rId10"/>
      <w:footerReference w:type="default" r:id="rId11"/>
      <w:pgSz w:w="11906" w:h="16838"/>
      <w:pgMar w:top="1985" w:right="1474" w:bottom="1701" w:left="1644" w:header="851" w:footer="992" w:gutter="0"/>
      <w:cols w:space="720"/>
      <w:docGrid w:type="linesAndChars" w:linePitch="597" w:charSpace="-1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9CD5" w14:textId="77777777" w:rsidR="00CB60DA" w:rsidRDefault="00CB60DA">
      <w:r>
        <w:separator/>
      </w:r>
    </w:p>
  </w:endnote>
  <w:endnote w:type="continuationSeparator" w:id="0">
    <w:p w14:paraId="5971C6D3" w14:textId="77777777" w:rsidR="00CB60DA" w:rsidRDefault="00CB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文星标宋">
    <w:panose1 w:val="0201060900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3A153" w14:textId="77777777" w:rsidR="00A724B8" w:rsidRDefault="000B5CD6">
    <w:pPr>
      <w:pStyle w:val="a9"/>
      <w:framePr w:w="1588" w:wrap="around" w:vAnchor="page" w:hAnchor="margin" w:xAlign="outside" w:y="15140"/>
      <w:jc w:val="center"/>
      <w:rPr>
        <w:rStyle w:val="af0"/>
        <w:rFonts w:ascii="宋体" w:eastAsia="宋体" w:hAnsi="宋体"/>
        <w:sz w:val="28"/>
        <w:szCs w:val="28"/>
      </w:rPr>
    </w:pPr>
    <w:r>
      <w:rPr>
        <w:rStyle w:val="af0"/>
        <w:rFonts w:ascii="宋体" w:eastAsia="宋体" w:hAnsi="宋体" w:hint="eastAsia"/>
        <w:sz w:val="28"/>
        <w:szCs w:val="28"/>
      </w:rPr>
      <w:t xml:space="preserve">— </w:t>
    </w:r>
    <w:r>
      <w:rPr>
        <w:rFonts w:ascii="宋体" w:eastAsia="宋体" w:hAnsi="宋体"/>
        <w:sz w:val="28"/>
        <w:szCs w:val="28"/>
      </w:rPr>
      <w:fldChar w:fldCharType="begin"/>
    </w:r>
    <w:r>
      <w:rPr>
        <w:rStyle w:val="af0"/>
        <w:rFonts w:ascii="宋体" w:eastAsia="宋体" w:hAnsi="宋体"/>
        <w:sz w:val="28"/>
        <w:szCs w:val="28"/>
      </w:rPr>
      <w:instrText xml:space="preserve">PAGE  </w:instrText>
    </w:r>
    <w:r>
      <w:rPr>
        <w:rFonts w:ascii="宋体" w:eastAsia="宋体" w:hAnsi="宋体"/>
        <w:sz w:val="28"/>
        <w:szCs w:val="28"/>
      </w:rPr>
      <w:fldChar w:fldCharType="separate"/>
    </w:r>
    <w:r>
      <w:rPr>
        <w:rStyle w:val="af0"/>
        <w:rFonts w:ascii="宋体" w:eastAsia="宋体" w:hAnsi="宋体"/>
        <w:sz w:val="28"/>
        <w:szCs w:val="28"/>
      </w:rPr>
      <w:t>6</w:t>
    </w:r>
    <w:r>
      <w:rPr>
        <w:rFonts w:ascii="宋体" w:eastAsia="宋体" w:hAnsi="宋体"/>
        <w:sz w:val="28"/>
        <w:szCs w:val="28"/>
      </w:rPr>
      <w:fldChar w:fldCharType="end"/>
    </w:r>
    <w:r>
      <w:rPr>
        <w:rStyle w:val="af0"/>
        <w:rFonts w:ascii="宋体" w:eastAsia="宋体" w:hAnsi="宋体" w:hint="eastAsia"/>
        <w:sz w:val="28"/>
        <w:szCs w:val="28"/>
      </w:rPr>
      <w:t xml:space="preserve"> —</w:t>
    </w:r>
  </w:p>
  <w:p w14:paraId="5830BA41" w14:textId="77777777" w:rsidR="00A724B8" w:rsidRDefault="00A724B8">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9FEE4" w14:textId="77777777" w:rsidR="00A724B8" w:rsidRDefault="000B5CD6">
    <w:pPr>
      <w:pStyle w:val="a9"/>
      <w:framePr w:w="1213" w:wrap="around" w:vAnchor="page" w:hAnchor="margin" w:xAlign="outside" w:y="15140"/>
      <w:jc w:val="center"/>
      <w:rPr>
        <w:rStyle w:val="af0"/>
        <w:rFonts w:ascii="方正书宋_GBK" w:eastAsia="方正书宋_GBK" w:hAnsi="宋体"/>
        <w:sz w:val="28"/>
      </w:rPr>
    </w:pPr>
    <w:r>
      <w:rPr>
        <w:rStyle w:val="af0"/>
        <w:rFonts w:ascii="方正书宋_GBK" w:eastAsia="方正书宋_GBK" w:hAnsi="宋体" w:hint="eastAsia"/>
        <w:sz w:val="28"/>
      </w:rPr>
      <w:t xml:space="preserve">— </w:t>
    </w:r>
    <w:r>
      <w:rPr>
        <w:rFonts w:ascii="方正书宋_GBK" w:eastAsia="方正书宋_GBK" w:hAnsi="宋体" w:hint="eastAsia"/>
        <w:sz w:val="28"/>
      </w:rPr>
      <w:fldChar w:fldCharType="begin"/>
    </w:r>
    <w:r>
      <w:rPr>
        <w:rStyle w:val="af0"/>
        <w:rFonts w:ascii="方正书宋_GBK" w:eastAsia="方正书宋_GBK" w:hAnsi="宋体" w:hint="eastAsia"/>
        <w:sz w:val="28"/>
      </w:rPr>
      <w:instrText xml:space="preserve">PAGE  </w:instrText>
    </w:r>
    <w:r>
      <w:rPr>
        <w:rFonts w:ascii="方正书宋_GBK" w:eastAsia="方正书宋_GBK" w:hAnsi="宋体" w:hint="eastAsia"/>
        <w:sz w:val="28"/>
      </w:rPr>
      <w:fldChar w:fldCharType="separate"/>
    </w:r>
    <w:r>
      <w:rPr>
        <w:rStyle w:val="af0"/>
        <w:rFonts w:ascii="方正书宋_GBK" w:eastAsia="方正书宋_GBK" w:hAnsi="宋体"/>
        <w:sz w:val="28"/>
      </w:rPr>
      <w:t>4</w:t>
    </w:r>
    <w:r>
      <w:rPr>
        <w:rFonts w:ascii="方正书宋_GBK" w:eastAsia="方正书宋_GBK" w:hAnsi="宋体" w:hint="eastAsia"/>
        <w:sz w:val="28"/>
      </w:rPr>
      <w:fldChar w:fldCharType="end"/>
    </w:r>
    <w:r>
      <w:rPr>
        <w:rStyle w:val="af0"/>
        <w:rFonts w:ascii="方正书宋_GBK" w:eastAsia="方正书宋_GBK" w:hAnsi="宋体" w:hint="eastAsia"/>
        <w:sz w:val="28"/>
      </w:rPr>
      <w:t xml:space="preserve"> —</w:t>
    </w:r>
  </w:p>
  <w:p w14:paraId="65444C17" w14:textId="77777777" w:rsidR="00A724B8" w:rsidRDefault="00A724B8">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E0C7" w14:textId="77777777" w:rsidR="00CB60DA" w:rsidRDefault="00CB60DA">
      <w:r>
        <w:separator/>
      </w:r>
    </w:p>
  </w:footnote>
  <w:footnote w:type="continuationSeparator" w:id="0">
    <w:p w14:paraId="5D928E9D" w14:textId="77777777" w:rsidR="00CB60DA" w:rsidRDefault="00CB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B0980" w14:textId="77777777" w:rsidR="00A724B8" w:rsidRDefault="00A724B8">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646D" w14:textId="77777777" w:rsidR="00A724B8" w:rsidRDefault="00A724B8">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7"/>
  <w:drawingGridVerticalSpacing w:val="597"/>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wYWVlMzE4YTUwYzVmZGNlYmYzYjhkODA5ZThlOTkifQ=="/>
  </w:docVars>
  <w:rsids>
    <w:rsidRoot w:val="0037056A"/>
    <w:rsid w:val="000025E1"/>
    <w:rsid w:val="00003FC8"/>
    <w:rsid w:val="00010E35"/>
    <w:rsid w:val="000120CC"/>
    <w:rsid w:val="000151B6"/>
    <w:rsid w:val="00017D30"/>
    <w:rsid w:val="0002051A"/>
    <w:rsid w:val="000253FC"/>
    <w:rsid w:val="00026013"/>
    <w:rsid w:val="00031D7F"/>
    <w:rsid w:val="00033B4A"/>
    <w:rsid w:val="00044317"/>
    <w:rsid w:val="00044958"/>
    <w:rsid w:val="00045ADA"/>
    <w:rsid w:val="00046709"/>
    <w:rsid w:val="00050D58"/>
    <w:rsid w:val="00051D34"/>
    <w:rsid w:val="00056276"/>
    <w:rsid w:val="000604D9"/>
    <w:rsid w:val="00060C5D"/>
    <w:rsid w:val="00063CE9"/>
    <w:rsid w:val="00064237"/>
    <w:rsid w:val="00065CCC"/>
    <w:rsid w:val="00067281"/>
    <w:rsid w:val="00073271"/>
    <w:rsid w:val="00075E17"/>
    <w:rsid w:val="0008110B"/>
    <w:rsid w:val="0008143C"/>
    <w:rsid w:val="000814C9"/>
    <w:rsid w:val="00090BCC"/>
    <w:rsid w:val="00093537"/>
    <w:rsid w:val="00096A43"/>
    <w:rsid w:val="000A1365"/>
    <w:rsid w:val="000A40B7"/>
    <w:rsid w:val="000B0107"/>
    <w:rsid w:val="000B0DE7"/>
    <w:rsid w:val="000B506D"/>
    <w:rsid w:val="000B5CD6"/>
    <w:rsid w:val="000C29E1"/>
    <w:rsid w:val="000C3860"/>
    <w:rsid w:val="000C3920"/>
    <w:rsid w:val="000C4597"/>
    <w:rsid w:val="000C487E"/>
    <w:rsid w:val="000C5ACA"/>
    <w:rsid w:val="000C62A4"/>
    <w:rsid w:val="000C77FF"/>
    <w:rsid w:val="000D15C0"/>
    <w:rsid w:val="000D1A5E"/>
    <w:rsid w:val="000D1B17"/>
    <w:rsid w:val="000D1CF8"/>
    <w:rsid w:val="000D5132"/>
    <w:rsid w:val="000E1019"/>
    <w:rsid w:val="000E6619"/>
    <w:rsid w:val="000F1232"/>
    <w:rsid w:val="000F29C6"/>
    <w:rsid w:val="000F33CF"/>
    <w:rsid w:val="000F67DF"/>
    <w:rsid w:val="000F7363"/>
    <w:rsid w:val="000F7799"/>
    <w:rsid w:val="00103450"/>
    <w:rsid w:val="001040E2"/>
    <w:rsid w:val="00105564"/>
    <w:rsid w:val="00111839"/>
    <w:rsid w:val="0011497A"/>
    <w:rsid w:val="00114ABC"/>
    <w:rsid w:val="001216FA"/>
    <w:rsid w:val="0012282D"/>
    <w:rsid w:val="001231BA"/>
    <w:rsid w:val="0013107D"/>
    <w:rsid w:val="001310A9"/>
    <w:rsid w:val="00131B78"/>
    <w:rsid w:val="00134900"/>
    <w:rsid w:val="00134DB4"/>
    <w:rsid w:val="00137FE7"/>
    <w:rsid w:val="00140A77"/>
    <w:rsid w:val="00141889"/>
    <w:rsid w:val="00141CAE"/>
    <w:rsid w:val="001446CF"/>
    <w:rsid w:val="001455B4"/>
    <w:rsid w:val="00147DF6"/>
    <w:rsid w:val="00151BB6"/>
    <w:rsid w:val="00152083"/>
    <w:rsid w:val="001544BE"/>
    <w:rsid w:val="00156DD2"/>
    <w:rsid w:val="001617DE"/>
    <w:rsid w:val="0016305B"/>
    <w:rsid w:val="00164391"/>
    <w:rsid w:val="00167D87"/>
    <w:rsid w:val="001722F9"/>
    <w:rsid w:val="0017445D"/>
    <w:rsid w:val="00174712"/>
    <w:rsid w:val="00174851"/>
    <w:rsid w:val="00180902"/>
    <w:rsid w:val="00184E32"/>
    <w:rsid w:val="0018644F"/>
    <w:rsid w:val="00186CCB"/>
    <w:rsid w:val="00187EED"/>
    <w:rsid w:val="001908CF"/>
    <w:rsid w:val="00191FCB"/>
    <w:rsid w:val="00195158"/>
    <w:rsid w:val="00197ACC"/>
    <w:rsid w:val="001A1EF5"/>
    <w:rsid w:val="001A7325"/>
    <w:rsid w:val="001B10F4"/>
    <w:rsid w:val="001B172B"/>
    <w:rsid w:val="001B4246"/>
    <w:rsid w:val="001B5EED"/>
    <w:rsid w:val="001C0192"/>
    <w:rsid w:val="001C0CDF"/>
    <w:rsid w:val="001C52CC"/>
    <w:rsid w:val="001C53A1"/>
    <w:rsid w:val="001C607C"/>
    <w:rsid w:val="001C61DB"/>
    <w:rsid w:val="001C79F8"/>
    <w:rsid w:val="001D1323"/>
    <w:rsid w:val="001D159D"/>
    <w:rsid w:val="001D2C25"/>
    <w:rsid w:val="001D4364"/>
    <w:rsid w:val="001D4CB0"/>
    <w:rsid w:val="001E03BC"/>
    <w:rsid w:val="001E3A96"/>
    <w:rsid w:val="001E67E7"/>
    <w:rsid w:val="001F48F4"/>
    <w:rsid w:val="001F4CE9"/>
    <w:rsid w:val="001F606D"/>
    <w:rsid w:val="001F63FD"/>
    <w:rsid w:val="001F7AAE"/>
    <w:rsid w:val="0020054A"/>
    <w:rsid w:val="002027C8"/>
    <w:rsid w:val="0020405E"/>
    <w:rsid w:val="00205EC2"/>
    <w:rsid w:val="00207FAF"/>
    <w:rsid w:val="00215394"/>
    <w:rsid w:val="00220138"/>
    <w:rsid w:val="00225A9C"/>
    <w:rsid w:val="002273D5"/>
    <w:rsid w:val="002341A7"/>
    <w:rsid w:val="00235332"/>
    <w:rsid w:val="00235A6E"/>
    <w:rsid w:val="002430B0"/>
    <w:rsid w:val="00254FFA"/>
    <w:rsid w:val="00255938"/>
    <w:rsid w:val="00266544"/>
    <w:rsid w:val="00271E1A"/>
    <w:rsid w:val="002737CC"/>
    <w:rsid w:val="00274595"/>
    <w:rsid w:val="00274DC1"/>
    <w:rsid w:val="00275CC6"/>
    <w:rsid w:val="00276D6E"/>
    <w:rsid w:val="002806AB"/>
    <w:rsid w:val="00280B36"/>
    <w:rsid w:val="0029101F"/>
    <w:rsid w:val="00293BC3"/>
    <w:rsid w:val="00297912"/>
    <w:rsid w:val="002A4EE8"/>
    <w:rsid w:val="002A6DEE"/>
    <w:rsid w:val="002A7746"/>
    <w:rsid w:val="002A7E9A"/>
    <w:rsid w:val="002B1896"/>
    <w:rsid w:val="002B23C8"/>
    <w:rsid w:val="002B2EF0"/>
    <w:rsid w:val="002B6C50"/>
    <w:rsid w:val="002C0360"/>
    <w:rsid w:val="002C0A0D"/>
    <w:rsid w:val="002C4E67"/>
    <w:rsid w:val="002C5EE1"/>
    <w:rsid w:val="002C654A"/>
    <w:rsid w:val="002C6B73"/>
    <w:rsid w:val="002D45D7"/>
    <w:rsid w:val="002D50D5"/>
    <w:rsid w:val="002D7E20"/>
    <w:rsid w:val="002E2F8B"/>
    <w:rsid w:val="002E5ACF"/>
    <w:rsid w:val="002E6A51"/>
    <w:rsid w:val="002E783D"/>
    <w:rsid w:val="002F3AF8"/>
    <w:rsid w:val="002F5846"/>
    <w:rsid w:val="002F621D"/>
    <w:rsid w:val="002F79FD"/>
    <w:rsid w:val="00312615"/>
    <w:rsid w:val="00313A94"/>
    <w:rsid w:val="00316B5D"/>
    <w:rsid w:val="00317B0D"/>
    <w:rsid w:val="00317D9B"/>
    <w:rsid w:val="0032365E"/>
    <w:rsid w:val="00324AD0"/>
    <w:rsid w:val="00331A6A"/>
    <w:rsid w:val="0033390F"/>
    <w:rsid w:val="00333D32"/>
    <w:rsid w:val="00333FD6"/>
    <w:rsid w:val="00335E1B"/>
    <w:rsid w:val="00336E42"/>
    <w:rsid w:val="00342D67"/>
    <w:rsid w:val="00343E1B"/>
    <w:rsid w:val="00345427"/>
    <w:rsid w:val="00345CEE"/>
    <w:rsid w:val="00347BC2"/>
    <w:rsid w:val="00347FD1"/>
    <w:rsid w:val="0035068C"/>
    <w:rsid w:val="00351790"/>
    <w:rsid w:val="00351C0C"/>
    <w:rsid w:val="00351DBF"/>
    <w:rsid w:val="0036325C"/>
    <w:rsid w:val="00363DA0"/>
    <w:rsid w:val="00364539"/>
    <w:rsid w:val="00365C2C"/>
    <w:rsid w:val="0037056A"/>
    <w:rsid w:val="00371A07"/>
    <w:rsid w:val="003756B8"/>
    <w:rsid w:val="00376A29"/>
    <w:rsid w:val="00381901"/>
    <w:rsid w:val="00382022"/>
    <w:rsid w:val="0038429D"/>
    <w:rsid w:val="0038611D"/>
    <w:rsid w:val="003914F2"/>
    <w:rsid w:val="003926C9"/>
    <w:rsid w:val="00392CB5"/>
    <w:rsid w:val="00393846"/>
    <w:rsid w:val="00394183"/>
    <w:rsid w:val="00394E2C"/>
    <w:rsid w:val="00394E43"/>
    <w:rsid w:val="003A4482"/>
    <w:rsid w:val="003A75E6"/>
    <w:rsid w:val="003B264C"/>
    <w:rsid w:val="003B4A93"/>
    <w:rsid w:val="003B55AB"/>
    <w:rsid w:val="003C345F"/>
    <w:rsid w:val="003C3584"/>
    <w:rsid w:val="003C5612"/>
    <w:rsid w:val="003D08BA"/>
    <w:rsid w:val="003D1823"/>
    <w:rsid w:val="003D2C9E"/>
    <w:rsid w:val="003D7818"/>
    <w:rsid w:val="003E14D5"/>
    <w:rsid w:val="003E6E3E"/>
    <w:rsid w:val="003E6FEE"/>
    <w:rsid w:val="003E74B1"/>
    <w:rsid w:val="003F3901"/>
    <w:rsid w:val="003F44D2"/>
    <w:rsid w:val="003F5937"/>
    <w:rsid w:val="003F5BB4"/>
    <w:rsid w:val="00403A2E"/>
    <w:rsid w:val="00410336"/>
    <w:rsid w:val="0041542A"/>
    <w:rsid w:val="00415E0C"/>
    <w:rsid w:val="004161DC"/>
    <w:rsid w:val="004207C7"/>
    <w:rsid w:val="00420C88"/>
    <w:rsid w:val="00426600"/>
    <w:rsid w:val="00426F1E"/>
    <w:rsid w:val="00433EF1"/>
    <w:rsid w:val="004412EF"/>
    <w:rsid w:val="00445B76"/>
    <w:rsid w:val="004474E3"/>
    <w:rsid w:val="00450D21"/>
    <w:rsid w:val="0045511E"/>
    <w:rsid w:val="004558EB"/>
    <w:rsid w:val="004571D6"/>
    <w:rsid w:val="00463BDF"/>
    <w:rsid w:val="00465131"/>
    <w:rsid w:val="00466ADB"/>
    <w:rsid w:val="00471BC8"/>
    <w:rsid w:val="00471DFC"/>
    <w:rsid w:val="0047348A"/>
    <w:rsid w:val="00474C24"/>
    <w:rsid w:val="00481628"/>
    <w:rsid w:val="004856E6"/>
    <w:rsid w:val="00490075"/>
    <w:rsid w:val="004912FD"/>
    <w:rsid w:val="004960A1"/>
    <w:rsid w:val="004A2397"/>
    <w:rsid w:val="004A3B0A"/>
    <w:rsid w:val="004A4FC3"/>
    <w:rsid w:val="004A5ED0"/>
    <w:rsid w:val="004B279E"/>
    <w:rsid w:val="004B287A"/>
    <w:rsid w:val="004B3E9E"/>
    <w:rsid w:val="004B4CDB"/>
    <w:rsid w:val="004B6C6D"/>
    <w:rsid w:val="004C682A"/>
    <w:rsid w:val="004D097A"/>
    <w:rsid w:val="004D0F36"/>
    <w:rsid w:val="004D1F1F"/>
    <w:rsid w:val="004D2097"/>
    <w:rsid w:val="004D653A"/>
    <w:rsid w:val="004E1F57"/>
    <w:rsid w:val="004E3732"/>
    <w:rsid w:val="004E3B1F"/>
    <w:rsid w:val="004E4CAD"/>
    <w:rsid w:val="004F0D25"/>
    <w:rsid w:val="004F74F0"/>
    <w:rsid w:val="004F77BD"/>
    <w:rsid w:val="004F7DE2"/>
    <w:rsid w:val="00503141"/>
    <w:rsid w:val="005040B8"/>
    <w:rsid w:val="00504AF6"/>
    <w:rsid w:val="005109DB"/>
    <w:rsid w:val="00512BDB"/>
    <w:rsid w:val="00512E55"/>
    <w:rsid w:val="0051723B"/>
    <w:rsid w:val="00520669"/>
    <w:rsid w:val="00521437"/>
    <w:rsid w:val="0052220F"/>
    <w:rsid w:val="00525BC9"/>
    <w:rsid w:val="00530981"/>
    <w:rsid w:val="00537F97"/>
    <w:rsid w:val="0054205F"/>
    <w:rsid w:val="00542294"/>
    <w:rsid w:val="00542390"/>
    <w:rsid w:val="0054492C"/>
    <w:rsid w:val="00556265"/>
    <w:rsid w:val="0055786D"/>
    <w:rsid w:val="00560251"/>
    <w:rsid w:val="00560856"/>
    <w:rsid w:val="00562528"/>
    <w:rsid w:val="00565599"/>
    <w:rsid w:val="0056575D"/>
    <w:rsid w:val="005706AF"/>
    <w:rsid w:val="00571D71"/>
    <w:rsid w:val="005725A5"/>
    <w:rsid w:val="005726DD"/>
    <w:rsid w:val="005745F3"/>
    <w:rsid w:val="005757D1"/>
    <w:rsid w:val="00576208"/>
    <w:rsid w:val="00576F38"/>
    <w:rsid w:val="00584FC3"/>
    <w:rsid w:val="00594443"/>
    <w:rsid w:val="00594AA2"/>
    <w:rsid w:val="0059575F"/>
    <w:rsid w:val="0059612F"/>
    <w:rsid w:val="00596901"/>
    <w:rsid w:val="005A4E15"/>
    <w:rsid w:val="005A5470"/>
    <w:rsid w:val="005A6EA5"/>
    <w:rsid w:val="005B1E85"/>
    <w:rsid w:val="005B3B78"/>
    <w:rsid w:val="005B58C1"/>
    <w:rsid w:val="005B6516"/>
    <w:rsid w:val="005C45A9"/>
    <w:rsid w:val="005C4601"/>
    <w:rsid w:val="005C4DF0"/>
    <w:rsid w:val="005C4E75"/>
    <w:rsid w:val="005C7383"/>
    <w:rsid w:val="005C7716"/>
    <w:rsid w:val="005D28C5"/>
    <w:rsid w:val="005D45D5"/>
    <w:rsid w:val="005E399E"/>
    <w:rsid w:val="005E3F43"/>
    <w:rsid w:val="005E4092"/>
    <w:rsid w:val="005E489D"/>
    <w:rsid w:val="005E4BCF"/>
    <w:rsid w:val="005F3B7B"/>
    <w:rsid w:val="005F59FE"/>
    <w:rsid w:val="005F6F85"/>
    <w:rsid w:val="00600BE1"/>
    <w:rsid w:val="00600E22"/>
    <w:rsid w:val="00600E57"/>
    <w:rsid w:val="006018C3"/>
    <w:rsid w:val="006021B6"/>
    <w:rsid w:val="00603223"/>
    <w:rsid w:val="00604243"/>
    <w:rsid w:val="006051D3"/>
    <w:rsid w:val="00610094"/>
    <w:rsid w:val="006100C9"/>
    <w:rsid w:val="006169BD"/>
    <w:rsid w:val="0062009C"/>
    <w:rsid w:val="0062020C"/>
    <w:rsid w:val="006219E3"/>
    <w:rsid w:val="00623D78"/>
    <w:rsid w:val="00624C70"/>
    <w:rsid w:val="006265B9"/>
    <w:rsid w:val="00633D2E"/>
    <w:rsid w:val="006403A1"/>
    <w:rsid w:val="00641253"/>
    <w:rsid w:val="00642271"/>
    <w:rsid w:val="00642AE8"/>
    <w:rsid w:val="00644272"/>
    <w:rsid w:val="00644E89"/>
    <w:rsid w:val="00645268"/>
    <w:rsid w:val="00650C1D"/>
    <w:rsid w:val="006525F2"/>
    <w:rsid w:val="006541FE"/>
    <w:rsid w:val="00657CE2"/>
    <w:rsid w:val="00662886"/>
    <w:rsid w:val="00662ED3"/>
    <w:rsid w:val="0067319A"/>
    <w:rsid w:val="0067566C"/>
    <w:rsid w:val="0068052C"/>
    <w:rsid w:val="0068190A"/>
    <w:rsid w:val="006822D4"/>
    <w:rsid w:val="00683952"/>
    <w:rsid w:val="00683F77"/>
    <w:rsid w:val="00684809"/>
    <w:rsid w:val="00692D61"/>
    <w:rsid w:val="0069383F"/>
    <w:rsid w:val="00697256"/>
    <w:rsid w:val="006A551C"/>
    <w:rsid w:val="006A5CA1"/>
    <w:rsid w:val="006B54AB"/>
    <w:rsid w:val="006C17BF"/>
    <w:rsid w:val="006C2C45"/>
    <w:rsid w:val="006D0725"/>
    <w:rsid w:val="006D528C"/>
    <w:rsid w:val="006D71EA"/>
    <w:rsid w:val="006E0308"/>
    <w:rsid w:val="006E2DAD"/>
    <w:rsid w:val="006E4485"/>
    <w:rsid w:val="006E59FD"/>
    <w:rsid w:val="006E6331"/>
    <w:rsid w:val="006E6501"/>
    <w:rsid w:val="006F3F74"/>
    <w:rsid w:val="006F583E"/>
    <w:rsid w:val="006F5A49"/>
    <w:rsid w:val="006F7A7D"/>
    <w:rsid w:val="00701C26"/>
    <w:rsid w:val="00704582"/>
    <w:rsid w:val="00705E91"/>
    <w:rsid w:val="00714E7B"/>
    <w:rsid w:val="00715974"/>
    <w:rsid w:val="00716820"/>
    <w:rsid w:val="00717958"/>
    <w:rsid w:val="00717DEE"/>
    <w:rsid w:val="0072427F"/>
    <w:rsid w:val="00726555"/>
    <w:rsid w:val="0073011D"/>
    <w:rsid w:val="0073141F"/>
    <w:rsid w:val="0073183E"/>
    <w:rsid w:val="007321C7"/>
    <w:rsid w:val="007343F9"/>
    <w:rsid w:val="007413EA"/>
    <w:rsid w:val="007430DB"/>
    <w:rsid w:val="00744423"/>
    <w:rsid w:val="00747686"/>
    <w:rsid w:val="00750C3B"/>
    <w:rsid w:val="007574BD"/>
    <w:rsid w:val="00757A14"/>
    <w:rsid w:val="00761CA7"/>
    <w:rsid w:val="00761CF0"/>
    <w:rsid w:val="00765752"/>
    <w:rsid w:val="007703EA"/>
    <w:rsid w:val="0077345C"/>
    <w:rsid w:val="00780823"/>
    <w:rsid w:val="0078170A"/>
    <w:rsid w:val="0078478E"/>
    <w:rsid w:val="007A4F20"/>
    <w:rsid w:val="007A526C"/>
    <w:rsid w:val="007A7392"/>
    <w:rsid w:val="007B47B4"/>
    <w:rsid w:val="007B7F75"/>
    <w:rsid w:val="007C1B90"/>
    <w:rsid w:val="007C286E"/>
    <w:rsid w:val="007C522D"/>
    <w:rsid w:val="007C721F"/>
    <w:rsid w:val="007C762F"/>
    <w:rsid w:val="007D1720"/>
    <w:rsid w:val="007D2F3C"/>
    <w:rsid w:val="007D74AA"/>
    <w:rsid w:val="007D7C74"/>
    <w:rsid w:val="007E6F50"/>
    <w:rsid w:val="007E7433"/>
    <w:rsid w:val="007F749A"/>
    <w:rsid w:val="0080227D"/>
    <w:rsid w:val="00804841"/>
    <w:rsid w:val="00806BC5"/>
    <w:rsid w:val="008075A8"/>
    <w:rsid w:val="0081017F"/>
    <w:rsid w:val="008104FF"/>
    <w:rsid w:val="0081384C"/>
    <w:rsid w:val="00813ADB"/>
    <w:rsid w:val="00814A14"/>
    <w:rsid w:val="00815988"/>
    <w:rsid w:val="00823D0B"/>
    <w:rsid w:val="00823D41"/>
    <w:rsid w:val="0082563A"/>
    <w:rsid w:val="008319F2"/>
    <w:rsid w:val="00831FD6"/>
    <w:rsid w:val="008333B5"/>
    <w:rsid w:val="00834E73"/>
    <w:rsid w:val="008359D5"/>
    <w:rsid w:val="008405D0"/>
    <w:rsid w:val="00840828"/>
    <w:rsid w:val="00840B20"/>
    <w:rsid w:val="00842539"/>
    <w:rsid w:val="0084626F"/>
    <w:rsid w:val="00846DBC"/>
    <w:rsid w:val="00847DC6"/>
    <w:rsid w:val="00852060"/>
    <w:rsid w:val="008532BB"/>
    <w:rsid w:val="00857B12"/>
    <w:rsid w:val="008707AC"/>
    <w:rsid w:val="00871ABA"/>
    <w:rsid w:val="0087775F"/>
    <w:rsid w:val="0088249A"/>
    <w:rsid w:val="008828DE"/>
    <w:rsid w:val="008928E5"/>
    <w:rsid w:val="00892F63"/>
    <w:rsid w:val="0089527A"/>
    <w:rsid w:val="008A0533"/>
    <w:rsid w:val="008A4DD9"/>
    <w:rsid w:val="008A7EC1"/>
    <w:rsid w:val="008B188C"/>
    <w:rsid w:val="008B1AA0"/>
    <w:rsid w:val="008B325D"/>
    <w:rsid w:val="008B36B0"/>
    <w:rsid w:val="008B5F59"/>
    <w:rsid w:val="008B7CA8"/>
    <w:rsid w:val="008C2C0C"/>
    <w:rsid w:val="008C3325"/>
    <w:rsid w:val="008D2B20"/>
    <w:rsid w:val="008D311F"/>
    <w:rsid w:val="008D3553"/>
    <w:rsid w:val="008D36DB"/>
    <w:rsid w:val="008D7C89"/>
    <w:rsid w:val="008E0123"/>
    <w:rsid w:val="008E0B36"/>
    <w:rsid w:val="008E16BC"/>
    <w:rsid w:val="008E191E"/>
    <w:rsid w:val="008E3B6C"/>
    <w:rsid w:val="008E49C9"/>
    <w:rsid w:val="008E6C8C"/>
    <w:rsid w:val="008E6FBF"/>
    <w:rsid w:val="008F2E99"/>
    <w:rsid w:val="008F3E32"/>
    <w:rsid w:val="008F5C5B"/>
    <w:rsid w:val="008F6C05"/>
    <w:rsid w:val="008F74CC"/>
    <w:rsid w:val="00907F23"/>
    <w:rsid w:val="009215CC"/>
    <w:rsid w:val="00926C04"/>
    <w:rsid w:val="009276A8"/>
    <w:rsid w:val="00930325"/>
    <w:rsid w:val="009330D0"/>
    <w:rsid w:val="00936AA3"/>
    <w:rsid w:val="00943B68"/>
    <w:rsid w:val="0094602C"/>
    <w:rsid w:val="00950E05"/>
    <w:rsid w:val="00951506"/>
    <w:rsid w:val="00952D22"/>
    <w:rsid w:val="00954C74"/>
    <w:rsid w:val="0095639C"/>
    <w:rsid w:val="009601A2"/>
    <w:rsid w:val="00962D70"/>
    <w:rsid w:val="00965CC0"/>
    <w:rsid w:val="009701C7"/>
    <w:rsid w:val="00971A63"/>
    <w:rsid w:val="00974440"/>
    <w:rsid w:val="009772D7"/>
    <w:rsid w:val="009778C3"/>
    <w:rsid w:val="00977C0E"/>
    <w:rsid w:val="009840F9"/>
    <w:rsid w:val="00990F49"/>
    <w:rsid w:val="00995046"/>
    <w:rsid w:val="00996DA3"/>
    <w:rsid w:val="009B453E"/>
    <w:rsid w:val="009B6B80"/>
    <w:rsid w:val="009C49AC"/>
    <w:rsid w:val="009C5F64"/>
    <w:rsid w:val="009C655E"/>
    <w:rsid w:val="009C7E8B"/>
    <w:rsid w:val="009D1F42"/>
    <w:rsid w:val="009D5327"/>
    <w:rsid w:val="009D569A"/>
    <w:rsid w:val="009D5709"/>
    <w:rsid w:val="009D6AD1"/>
    <w:rsid w:val="009D6FA3"/>
    <w:rsid w:val="009D730C"/>
    <w:rsid w:val="009D7772"/>
    <w:rsid w:val="009E0221"/>
    <w:rsid w:val="009E095B"/>
    <w:rsid w:val="009E123F"/>
    <w:rsid w:val="009E1A8E"/>
    <w:rsid w:val="009E4F78"/>
    <w:rsid w:val="009E521B"/>
    <w:rsid w:val="009E58B9"/>
    <w:rsid w:val="009E7B1A"/>
    <w:rsid w:val="009F1FB9"/>
    <w:rsid w:val="009F2F7D"/>
    <w:rsid w:val="009F3ED6"/>
    <w:rsid w:val="009F5042"/>
    <w:rsid w:val="009F5871"/>
    <w:rsid w:val="009F60AE"/>
    <w:rsid w:val="00A001F2"/>
    <w:rsid w:val="00A006C2"/>
    <w:rsid w:val="00A00840"/>
    <w:rsid w:val="00A009E6"/>
    <w:rsid w:val="00A00ECE"/>
    <w:rsid w:val="00A0453C"/>
    <w:rsid w:val="00A07048"/>
    <w:rsid w:val="00A12438"/>
    <w:rsid w:val="00A143CC"/>
    <w:rsid w:val="00A1546C"/>
    <w:rsid w:val="00A179B5"/>
    <w:rsid w:val="00A17B23"/>
    <w:rsid w:val="00A204F3"/>
    <w:rsid w:val="00A219D9"/>
    <w:rsid w:val="00A22EC7"/>
    <w:rsid w:val="00A32AAA"/>
    <w:rsid w:val="00A33730"/>
    <w:rsid w:val="00A34056"/>
    <w:rsid w:val="00A34D7F"/>
    <w:rsid w:val="00A36FF5"/>
    <w:rsid w:val="00A43BBC"/>
    <w:rsid w:val="00A44397"/>
    <w:rsid w:val="00A571ED"/>
    <w:rsid w:val="00A57DB8"/>
    <w:rsid w:val="00A6138D"/>
    <w:rsid w:val="00A613F0"/>
    <w:rsid w:val="00A61ED6"/>
    <w:rsid w:val="00A62937"/>
    <w:rsid w:val="00A67CAD"/>
    <w:rsid w:val="00A67ED0"/>
    <w:rsid w:val="00A724B8"/>
    <w:rsid w:val="00A74D35"/>
    <w:rsid w:val="00A777C9"/>
    <w:rsid w:val="00A82B1A"/>
    <w:rsid w:val="00A82DED"/>
    <w:rsid w:val="00A83F77"/>
    <w:rsid w:val="00A9052A"/>
    <w:rsid w:val="00A92D79"/>
    <w:rsid w:val="00A969A7"/>
    <w:rsid w:val="00AA21DC"/>
    <w:rsid w:val="00AA7726"/>
    <w:rsid w:val="00AB398C"/>
    <w:rsid w:val="00AB4E56"/>
    <w:rsid w:val="00AC1B23"/>
    <w:rsid w:val="00AC2513"/>
    <w:rsid w:val="00AC3C5D"/>
    <w:rsid w:val="00AC3D9B"/>
    <w:rsid w:val="00AC6246"/>
    <w:rsid w:val="00AC73A1"/>
    <w:rsid w:val="00AD015C"/>
    <w:rsid w:val="00AD0D05"/>
    <w:rsid w:val="00AD1481"/>
    <w:rsid w:val="00AD1785"/>
    <w:rsid w:val="00AD291C"/>
    <w:rsid w:val="00AD2D0C"/>
    <w:rsid w:val="00AD5D52"/>
    <w:rsid w:val="00AE0B7E"/>
    <w:rsid w:val="00AE1AEB"/>
    <w:rsid w:val="00AE2573"/>
    <w:rsid w:val="00AE4FBD"/>
    <w:rsid w:val="00AE5947"/>
    <w:rsid w:val="00AF1538"/>
    <w:rsid w:val="00AF1B8D"/>
    <w:rsid w:val="00AF1CDF"/>
    <w:rsid w:val="00AF7E65"/>
    <w:rsid w:val="00B0203D"/>
    <w:rsid w:val="00B03880"/>
    <w:rsid w:val="00B11025"/>
    <w:rsid w:val="00B12312"/>
    <w:rsid w:val="00B12AC6"/>
    <w:rsid w:val="00B14684"/>
    <w:rsid w:val="00B1490C"/>
    <w:rsid w:val="00B22F0B"/>
    <w:rsid w:val="00B246E9"/>
    <w:rsid w:val="00B26128"/>
    <w:rsid w:val="00B321F6"/>
    <w:rsid w:val="00B330BD"/>
    <w:rsid w:val="00B416C3"/>
    <w:rsid w:val="00B42B42"/>
    <w:rsid w:val="00B42F63"/>
    <w:rsid w:val="00B43EF1"/>
    <w:rsid w:val="00B43F14"/>
    <w:rsid w:val="00B477C5"/>
    <w:rsid w:val="00B47B2F"/>
    <w:rsid w:val="00B53B2C"/>
    <w:rsid w:val="00B53F3A"/>
    <w:rsid w:val="00B54B94"/>
    <w:rsid w:val="00B56585"/>
    <w:rsid w:val="00B56B2E"/>
    <w:rsid w:val="00B615D9"/>
    <w:rsid w:val="00B61ED8"/>
    <w:rsid w:val="00B625B9"/>
    <w:rsid w:val="00B62D51"/>
    <w:rsid w:val="00B62DD4"/>
    <w:rsid w:val="00B676D5"/>
    <w:rsid w:val="00B726B3"/>
    <w:rsid w:val="00B80678"/>
    <w:rsid w:val="00B8290D"/>
    <w:rsid w:val="00B83B8D"/>
    <w:rsid w:val="00B84047"/>
    <w:rsid w:val="00B868B0"/>
    <w:rsid w:val="00B9028D"/>
    <w:rsid w:val="00B941C6"/>
    <w:rsid w:val="00B9656D"/>
    <w:rsid w:val="00BA00CF"/>
    <w:rsid w:val="00BA139A"/>
    <w:rsid w:val="00BA5206"/>
    <w:rsid w:val="00BA6C28"/>
    <w:rsid w:val="00BA78BE"/>
    <w:rsid w:val="00BB165F"/>
    <w:rsid w:val="00BB3363"/>
    <w:rsid w:val="00BB4573"/>
    <w:rsid w:val="00BC1779"/>
    <w:rsid w:val="00BC2715"/>
    <w:rsid w:val="00BC6734"/>
    <w:rsid w:val="00BC6C5A"/>
    <w:rsid w:val="00BC7486"/>
    <w:rsid w:val="00BD41E7"/>
    <w:rsid w:val="00BD5F2F"/>
    <w:rsid w:val="00BD70F6"/>
    <w:rsid w:val="00BE45FC"/>
    <w:rsid w:val="00BE5B8D"/>
    <w:rsid w:val="00BE69B8"/>
    <w:rsid w:val="00BE6FA7"/>
    <w:rsid w:val="00BF06CE"/>
    <w:rsid w:val="00BF0F15"/>
    <w:rsid w:val="00BF2555"/>
    <w:rsid w:val="00BF2945"/>
    <w:rsid w:val="00BF3C7E"/>
    <w:rsid w:val="00BF4610"/>
    <w:rsid w:val="00BF79E3"/>
    <w:rsid w:val="00C0177E"/>
    <w:rsid w:val="00C03326"/>
    <w:rsid w:val="00C037B5"/>
    <w:rsid w:val="00C04822"/>
    <w:rsid w:val="00C0579F"/>
    <w:rsid w:val="00C05EC3"/>
    <w:rsid w:val="00C11233"/>
    <w:rsid w:val="00C116C9"/>
    <w:rsid w:val="00C20757"/>
    <w:rsid w:val="00C20D96"/>
    <w:rsid w:val="00C25C89"/>
    <w:rsid w:val="00C34EF6"/>
    <w:rsid w:val="00C37D11"/>
    <w:rsid w:val="00C37EF5"/>
    <w:rsid w:val="00C45237"/>
    <w:rsid w:val="00C46E60"/>
    <w:rsid w:val="00C50579"/>
    <w:rsid w:val="00C53E40"/>
    <w:rsid w:val="00C5778C"/>
    <w:rsid w:val="00C62445"/>
    <w:rsid w:val="00C64E78"/>
    <w:rsid w:val="00C75394"/>
    <w:rsid w:val="00C86ACF"/>
    <w:rsid w:val="00C875D9"/>
    <w:rsid w:val="00C90B09"/>
    <w:rsid w:val="00C949D1"/>
    <w:rsid w:val="00C97420"/>
    <w:rsid w:val="00C97EC9"/>
    <w:rsid w:val="00CA0700"/>
    <w:rsid w:val="00CA1B4E"/>
    <w:rsid w:val="00CA6E8D"/>
    <w:rsid w:val="00CB1487"/>
    <w:rsid w:val="00CB60DA"/>
    <w:rsid w:val="00CC3588"/>
    <w:rsid w:val="00CD32DF"/>
    <w:rsid w:val="00CD35B7"/>
    <w:rsid w:val="00CD3DED"/>
    <w:rsid w:val="00CD6C0A"/>
    <w:rsid w:val="00CD70B2"/>
    <w:rsid w:val="00CE03D6"/>
    <w:rsid w:val="00CE047F"/>
    <w:rsid w:val="00CE0A87"/>
    <w:rsid w:val="00CE4AAF"/>
    <w:rsid w:val="00CE556D"/>
    <w:rsid w:val="00CE5964"/>
    <w:rsid w:val="00CF1727"/>
    <w:rsid w:val="00CF54CD"/>
    <w:rsid w:val="00D00671"/>
    <w:rsid w:val="00D02B98"/>
    <w:rsid w:val="00D06913"/>
    <w:rsid w:val="00D073E0"/>
    <w:rsid w:val="00D104C8"/>
    <w:rsid w:val="00D15657"/>
    <w:rsid w:val="00D17C3B"/>
    <w:rsid w:val="00D20445"/>
    <w:rsid w:val="00D2084C"/>
    <w:rsid w:val="00D23D80"/>
    <w:rsid w:val="00D31522"/>
    <w:rsid w:val="00D321B5"/>
    <w:rsid w:val="00D330F2"/>
    <w:rsid w:val="00D33736"/>
    <w:rsid w:val="00D3478D"/>
    <w:rsid w:val="00D35B18"/>
    <w:rsid w:val="00D4119E"/>
    <w:rsid w:val="00D43420"/>
    <w:rsid w:val="00D43ACA"/>
    <w:rsid w:val="00D46CB2"/>
    <w:rsid w:val="00D535DF"/>
    <w:rsid w:val="00D56780"/>
    <w:rsid w:val="00D6081F"/>
    <w:rsid w:val="00D6377E"/>
    <w:rsid w:val="00D641C9"/>
    <w:rsid w:val="00D67E92"/>
    <w:rsid w:val="00D71517"/>
    <w:rsid w:val="00D73A8F"/>
    <w:rsid w:val="00D75FCA"/>
    <w:rsid w:val="00D77276"/>
    <w:rsid w:val="00D806D8"/>
    <w:rsid w:val="00D946D3"/>
    <w:rsid w:val="00D97FBB"/>
    <w:rsid w:val="00DA0C07"/>
    <w:rsid w:val="00DC1360"/>
    <w:rsid w:val="00DC3317"/>
    <w:rsid w:val="00DC34BA"/>
    <w:rsid w:val="00DC3A78"/>
    <w:rsid w:val="00DD011A"/>
    <w:rsid w:val="00DD6949"/>
    <w:rsid w:val="00DE722C"/>
    <w:rsid w:val="00DE7902"/>
    <w:rsid w:val="00DF2607"/>
    <w:rsid w:val="00DF41EE"/>
    <w:rsid w:val="00DF4ECD"/>
    <w:rsid w:val="00DF6D0A"/>
    <w:rsid w:val="00E10DC8"/>
    <w:rsid w:val="00E11A1F"/>
    <w:rsid w:val="00E12621"/>
    <w:rsid w:val="00E12986"/>
    <w:rsid w:val="00E1553E"/>
    <w:rsid w:val="00E33DE9"/>
    <w:rsid w:val="00E45074"/>
    <w:rsid w:val="00E450AC"/>
    <w:rsid w:val="00E46E7C"/>
    <w:rsid w:val="00E5066C"/>
    <w:rsid w:val="00E514B3"/>
    <w:rsid w:val="00E5246E"/>
    <w:rsid w:val="00E54C07"/>
    <w:rsid w:val="00E55895"/>
    <w:rsid w:val="00E567A7"/>
    <w:rsid w:val="00E647D9"/>
    <w:rsid w:val="00E734D7"/>
    <w:rsid w:val="00E845ED"/>
    <w:rsid w:val="00E859EA"/>
    <w:rsid w:val="00E95231"/>
    <w:rsid w:val="00EA1899"/>
    <w:rsid w:val="00EA337A"/>
    <w:rsid w:val="00EA350C"/>
    <w:rsid w:val="00EA50C8"/>
    <w:rsid w:val="00EA7E84"/>
    <w:rsid w:val="00EB01BE"/>
    <w:rsid w:val="00EB2573"/>
    <w:rsid w:val="00EC210C"/>
    <w:rsid w:val="00EC5D14"/>
    <w:rsid w:val="00ED107E"/>
    <w:rsid w:val="00ED377D"/>
    <w:rsid w:val="00EE0FB9"/>
    <w:rsid w:val="00EE1771"/>
    <w:rsid w:val="00EE3F4E"/>
    <w:rsid w:val="00EE56FF"/>
    <w:rsid w:val="00EE732B"/>
    <w:rsid w:val="00EE7689"/>
    <w:rsid w:val="00EF023A"/>
    <w:rsid w:val="00EF08B9"/>
    <w:rsid w:val="00EF5C6C"/>
    <w:rsid w:val="00EF5F15"/>
    <w:rsid w:val="00EF65DE"/>
    <w:rsid w:val="00EF6AD9"/>
    <w:rsid w:val="00F021B9"/>
    <w:rsid w:val="00F025A1"/>
    <w:rsid w:val="00F11C52"/>
    <w:rsid w:val="00F157E0"/>
    <w:rsid w:val="00F158BA"/>
    <w:rsid w:val="00F202A7"/>
    <w:rsid w:val="00F21AF5"/>
    <w:rsid w:val="00F220BA"/>
    <w:rsid w:val="00F220F7"/>
    <w:rsid w:val="00F34B54"/>
    <w:rsid w:val="00F43E13"/>
    <w:rsid w:val="00F45610"/>
    <w:rsid w:val="00F466A5"/>
    <w:rsid w:val="00F53556"/>
    <w:rsid w:val="00F53F7F"/>
    <w:rsid w:val="00F54BBF"/>
    <w:rsid w:val="00F6232E"/>
    <w:rsid w:val="00F636B3"/>
    <w:rsid w:val="00F64E02"/>
    <w:rsid w:val="00F736CF"/>
    <w:rsid w:val="00F76D46"/>
    <w:rsid w:val="00F8127F"/>
    <w:rsid w:val="00F81A39"/>
    <w:rsid w:val="00F867A2"/>
    <w:rsid w:val="00F869A2"/>
    <w:rsid w:val="00F905A7"/>
    <w:rsid w:val="00F90A23"/>
    <w:rsid w:val="00F949FC"/>
    <w:rsid w:val="00F95439"/>
    <w:rsid w:val="00F96FED"/>
    <w:rsid w:val="00F978E5"/>
    <w:rsid w:val="00F97AAA"/>
    <w:rsid w:val="00FA060B"/>
    <w:rsid w:val="00FA072A"/>
    <w:rsid w:val="00FA64DE"/>
    <w:rsid w:val="00FA663D"/>
    <w:rsid w:val="00FB0659"/>
    <w:rsid w:val="00FB2B5F"/>
    <w:rsid w:val="00FB348B"/>
    <w:rsid w:val="00FB6258"/>
    <w:rsid w:val="00FC7EBA"/>
    <w:rsid w:val="00FD09C7"/>
    <w:rsid w:val="00FD0AEB"/>
    <w:rsid w:val="00FD3788"/>
    <w:rsid w:val="00FD4786"/>
    <w:rsid w:val="00FE18C5"/>
    <w:rsid w:val="00FE2EB6"/>
    <w:rsid w:val="00FF014B"/>
    <w:rsid w:val="00FF11A5"/>
    <w:rsid w:val="00FF1B22"/>
    <w:rsid w:val="00FF5385"/>
    <w:rsid w:val="00FF6187"/>
    <w:rsid w:val="00FF65B0"/>
    <w:rsid w:val="00FF791C"/>
    <w:rsid w:val="02DF048F"/>
    <w:rsid w:val="07034156"/>
    <w:rsid w:val="08D716D5"/>
    <w:rsid w:val="10426A95"/>
    <w:rsid w:val="13491142"/>
    <w:rsid w:val="13E946D3"/>
    <w:rsid w:val="149E35E7"/>
    <w:rsid w:val="157B1182"/>
    <w:rsid w:val="16384379"/>
    <w:rsid w:val="1C1569D2"/>
    <w:rsid w:val="251C1052"/>
    <w:rsid w:val="26522474"/>
    <w:rsid w:val="268E767C"/>
    <w:rsid w:val="2B4D5EA4"/>
    <w:rsid w:val="2D9B0D70"/>
    <w:rsid w:val="2F877BF3"/>
    <w:rsid w:val="3B1D7C60"/>
    <w:rsid w:val="3DF5764D"/>
    <w:rsid w:val="3F6D76B7"/>
    <w:rsid w:val="403B6E61"/>
    <w:rsid w:val="40AF50BE"/>
    <w:rsid w:val="442761BE"/>
    <w:rsid w:val="446247C1"/>
    <w:rsid w:val="44E40608"/>
    <w:rsid w:val="495E1FB7"/>
    <w:rsid w:val="497432E7"/>
    <w:rsid w:val="4A0C18D4"/>
    <w:rsid w:val="4D41465D"/>
    <w:rsid w:val="51856AE2"/>
    <w:rsid w:val="533E0604"/>
    <w:rsid w:val="583E357E"/>
    <w:rsid w:val="58F51678"/>
    <w:rsid w:val="5FC33652"/>
    <w:rsid w:val="60581AFD"/>
    <w:rsid w:val="60AC6A95"/>
    <w:rsid w:val="657E5FC3"/>
    <w:rsid w:val="6589499B"/>
    <w:rsid w:val="65DC0D66"/>
    <w:rsid w:val="66BD76CA"/>
    <w:rsid w:val="727644F9"/>
    <w:rsid w:val="7282672F"/>
    <w:rsid w:val="75392FE5"/>
    <w:rsid w:val="76EC2906"/>
    <w:rsid w:val="79D21E6C"/>
    <w:rsid w:val="7CE7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F00D63"/>
  <w15:docId w15:val="{901EC2A9-84DD-4142-BA96-59C8BB42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caption" w:semiHidden="1" w:unhideWhenUsed="1" w:qFormat="1"/>
    <w:lsdException w:name="List Number" w:qFormat="1"/>
    <w:lsdException w:name="Title" w:qFormat="1"/>
    <w:lsdException w:name="Default Paragraph Font" w:semiHidden="1"/>
    <w:lsdException w:name="Body Text" w:qFormat="1"/>
    <w:lsdException w:name="Subtitle" w:qFormat="1"/>
    <w:lsdException w:name="Dat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rFonts w:eastAsia="仿宋_GB2312"/>
      <w:kern w:val="2"/>
      <w:sz w:val="32"/>
      <w:szCs w:val="32"/>
    </w:rPr>
  </w:style>
  <w:style w:type="paragraph" w:styleId="1">
    <w:name w:val="heading 1"/>
    <w:basedOn w:val="a0"/>
    <w:qFormat/>
    <w:pPr>
      <w:widowControl/>
      <w:spacing w:before="340" w:after="330" w:line="576" w:lineRule="auto"/>
      <w:outlineLvl w:val="0"/>
    </w:pPr>
    <w:rPr>
      <w:rFonts w:ascii="Calibri" w:eastAsia="宋体" w:hAnsi="Calibri" w:cs="宋体"/>
      <w:b/>
      <w:bCs/>
      <w:kern w:val="36"/>
      <w:sz w:val="44"/>
      <w:szCs w:val="44"/>
    </w:rPr>
  </w:style>
  <w:style w:type="paragraph" w:styleId="2">
    <w:name w:val="heading 2"/>
    <w:basedOn w:val="a0"/>
    <w:qFormat/>
    <w:pPr>
      <w:widowControl/>
      <w:spacing w:before="260" w:after="260" w:line="412" w:lineRule="auto"/>
      <w:outlineLvl w:val="1"/>
    </w:pPr>
    <w:rPr>
      <w:rFonts w:ascii="Cambria" w:eastAsia="宋体" w:hAnsi="Cambria" w:cs="宋体"/>
      <w:b/>
      <w:bCs/>
      <w:kern w:val="0"/>
    </w:rPr>
  </w:style>
  <w:style w:type="paragraph" w:styleId="3">
    <w:name w:val="heading 3"/>
    <w:basedOn w:val="a0"/>
    <w:qFormat/>
    <w:pPr>
      <w:widowControl/>
      <w:spacing w:before="260" w:after="260" w:line="412" w:lineRule="auto"/>
      <w:outlineLvl w:val="2"/>
    </w:pPr>
    <w:rPr>
      <w:rFonts w:ascii="Calibri" w:eastAsia="宋体" w:hAnsi="Calibri" w:cs="宋体"/>
      <w:b/>
      <w:bCs/>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qFormat/>
    <w:rPr>
      <w:rFonts w:eastAsia="宋体"/>
    </w:rPr>
  </w:style>
  <w:style w:type="paragraph" w:styleId="a">
    <w:name w:val="List Number"/>
    <w:basedOn w:val="a0"/>
    <w:qFormat/>
    <w:pPr>
      <w:numPr>
        <w:numId w:val="1"/>
      </w:numPr>
      <w:tabs>
        <w:tab w:val="left" w:leader="dot" w:pos="0"/>
      </w:tabs>
      <w:ind w:firstLine="0"/>
    </w:pPr>
    <w:rPr>
      <w:szCs w:val="20"/>
    </w:rPr>
  </w:style>
  <w:style w:type="paragraph" w:styleId="a4">
    <w:name w:val="Body Text"/>
    <w:basedOn w:val="a0"/>
    <w:qFormat/>
    <w:pPr>
      <w:spacing w:line="560" w:lineRule="exact"/>
      <w:jc w:val="center"/>
    </w:pPr>
    <w:rPr>
      <w:rFonts w:ascii="文星标宋" w:eastAsia="文星标宋"/>
      <w:spacing w:val="-13"/>
      <w:sz w:val="40"/>
      <w:szCs w:val="40"/>
    </w:rPr>
  </w:style>
  <w:style w:type="paragraph" w:styleId="a5">
    <w:name w:val="Body Text Indent"/>
    <w:basedOn w:val="a0"/>
    <w:pPr>
      <w:spacing w:line="620" w:lineRule="exact"/>
      <w:ind w:firstLineChars="200" w:firstLine="548"/>
    </w:pPr>
    <w:rPr>
      <w:rFonts w:ascii="仿宋_GB2312"/>
      <w:spacing w:val="-20"/>
    </w:rPr>
  </w:style>
  <w:style w:type="paragraph" w:styleId="a6">
    <w:name w:val="Plain Text"/>
    <w:basedOn w:val="a0"/>
    <w:rPr>
      <w:rFonts w:ascii="宋体" w:hAnsi="Courier New"/>
      <w:szCs w:val="20"/>
    </w:rPr>
  </w:style>
  <w:style w:type="paragraph" w:styleId="a7">
    <w:name w:val="Date"/>
    <w:basedOn w:val="a0"/>
    <w:next w:val="a0"/>
    <w:qFormat/>
    <w:pPr>
      <w:ind w:leftChars="2500" w:left="100"/>
    </w:pPr>
  </w:style>
  <w:style w:type="paragraph" w:styleId="20">
    <w:name w:val="Body Text Indent 2"/>
    <w:basedOn w:val="a0"/>
    <w:qFormat/>
    <w:pPr>
      <w:spacing w:line="580" w:lineRule="exact"/>
      <w:ind w:firstLineChars="200" w:firstLine="628"/>
    </w:pPr>
    <w:rPr>
      <w:rFonts w:ascii="仿宋_GB2312"/>
    </w:rPr>
  </w:style>
  <w:style w:type="paragraph" w:styleId="a8">
    <w:name w:val="Balloon Text"/>
    <w:basedOn w:val="a0"/>
    <w:semiHidden/>
    <w:qFormat/>
    <w:rPr>
      <w:sz w:val="18"/>
      <w:szCs w:val="18"/>
    </w:rPr>
  </w:style>
  <w:style w:type="paragraph" w:styleId="a9">
    <w:name w:val="footer"/>
    <w:basedOn w:val="a0"/>
    <w:link w:val="aa"/>
    <w:pPr>
      <w:tabs>
        <w:tab w:val="center" w:pos="4153"/>
        <w:tab w:val="right" w:pos="8306"/>
      </w:tabs>
      <w:snapToGrid w:val="0"/>
      <w:jc w:val="left"/>
    </w:pPr>
    <w:rPr>
      <w:sz w:val="18"/>
      <w:szCs w:val="18"/>
    </w:rPr>
  </w:style>
  <w:style w:type="paragraph" w:styleId="ab">
    <w:name w:val="header"/>
    <w:basedOn w:val="a0"/>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0"/>
    <w:qFormat/>
    <w:pPr>
      <w:widowControl/>
      <w:spacing w:before="100" w:beforeAutospacing="1" w:after="100" w:afterAutospacing="1"/>
      <w:jc w:val="left"/>
    </w:pPr>
    <w:rPr>
      <w:rFonts w:ascii="宋体" w:hAnsi="宋体" w:cs="宋体"/>
      <w:kern w:val="0"/>
      <w:sz w:val="24"/>
    </w:rPr>
  </w:style>
  <w:style w:type="table" w:styleId="a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1"/>
  </w:style>
  <w:style w:type="character" w:styleId="af1">
    <w:name w:val="Hyperlink"/>
    <w:qFormat/>
    <w:rPr>
      <w:color w:val="0000FF"/>
      <w:u w:val="single"/>
    </w:rPr>
  </w:style>
  <w:style w:type="character" w:customStyle="1" w:styleId="aa">
    <w:name w:val="页脚 字符"/>
    <w:link w:val="a9"/>
    <w:qFormat/>
    <w:rPr>
      <w:rFonts w:eastAsia="宋体"/>
      <w:kern w:val="2"/>
      <w:sz w:val="18"/>
      <w:szCs w:val="18"/>
      <w:lang w:val="en-US" w:eastAsia="zh-CN" w:bidi="ar-SA"/>
    </w:rPr>
  </w:style>
  <w:style w:type="character" w:customStyle="1" w:styleId="ac">
    <w:name w:val="页眉 字符"/>
    <w:link w:val="ab"/>
    <w:qFormat/>
    <w:rPr>
      <w:rFonts w:eastAsia="仿宋_GB2312"/>
      <w:kern w:val="2"/>
      <w:sz w:val="18"/>
      <w:szCs w:val="18"/>
      <w:lang w:val="en-US" w:eastAsia="zh-CN" w:bidi="ar-SA"/>
    </w:rPr>
  </w:style>
  <w:style w:type="character" w:customStyle="1" w:styleId="h1231">
    <w:name w:val="h1231"/>
    <w:qFormat/>
    <w:rPr>
      <w:rFonts w:ascii="ˎ̥" w:hAnsi="ˎ̥" w:hint="default"/>
      <w:color w:val="000000"/>
      <w:sz w:val="28"/>
      <w:szCs w:val="28"/>
      <w:u w:val="none"/>
    </w:rPr>
  </w:style>
  <w:style w:type="character" w:customStyle="1" w:styleId="font31">
    <w:name w:val="font31"/>
    <w:qFormat/>
    <w:rPr>
      <w:rFonts w:ascii="宋体" w:eastAsia="宋体" w:hAnsi="宋体" w:hint="eastAsia"/>
      <w:color w:val="FF0000"/>
      <w:sz w:val="22"/>
      <w:szCs w:val="22"/>
      <w:u w:val="none"/>
    </w:rPr>
  </w:style>
  <w:style w:type="character" w:customStyle="1" w:styleId="font51">
    <w:name w:val="font51"/>
    <w:qFormat/>
    <w:rPr>
      <w:rFonts w:ascii="宋体" w:eastAsia="宋体" w:hAnsi="宋体" w:hint="eastAsia"/>
      <w:color w:val="000000"/>
      <w:sz w:val="22"/>
      <w:szCs w:val="22"/>
      <w:u w:val="none"/>
    </w:rPr>
  </w:style>
  <w:style w:type="character" w:customStyle="1" w:styleId="GB2312">
    <w:name w:val="样式 (西文) 仿宋_GB2312 四号"/>
    <w:rPr>
      <w:rFonts w:ascii="Arial" w:eastAsia="仿宋_GB2312" w:hAnsi="Arial"/>
      <w:sz w:val="28"/>
    </w:rPr>
  </w:style>
  <w:style w:type="character" w:customStyle="1" w:styleId="15">
    <w:name w:val="15"/>
    <w:rPr>
      <w:rFonts w:ascii="Times New Roman" w:hAnsi="Times New Roman" w:cs="Times New Roman" w:hint="default"/>
      <w:color w:val="2D64B3"/>
      <w:sz w:val="20"/>
      <w:szCs w:val="20"/>
      <w:u w:val="none"/>
    </w:rPr>
  </w:style>
  <w:style w:type="paragraph" w:customStyle="1" w:styleId="Style16">
    <w:name w:val="_Style 16"/>
    <w:basedOn w:val="a0"/>
    <w:next w:val="a0"/>
    <w:pPr>
      <w:pBdr>
        <w:top w:val="single" w:sz="6" w:space="1" w:color="auto"/>
      </w:pBdr>
      <w:jc w:val="center"/>
    </w:pPr>
    <w:rPr>
      <w:rFonts w:ascii="Arial" w:eastAsia="宋体" w:hAnsi="Calibri"/>
      <w:vanish/>
      <w:sz w:val="16"/>
      <w:szCs w:val="24"/>
    </w:rPr>
  </w:style>
  <w:style w:type="paragraph" w:customStyle="1" w:styleId="p15">
    <w:name w:val="p15"/>
    <w:basedOn w:val="a0"/>
    <w:pPr>
      <w:widowControl/>
      <w:spacing w:before="100" w:after="100"/>
      <w:jc w:val="left"/>
    </w:pPr>
    <w:rPr>
      <w:rFonts w:ascii="宋体" w:eastAsia="宋体" w:hAnsi="宋体" w:cs="宋体"/>
      <w:kern w:val="0"/>
      <w:sz w:val="24"/>
      <w:szCs w:val="24"/>
    </w:rPr>
  </w:style>
  <w:style w:type="paragraph" w:customStyle="1" w:styleId="p16">
    <w:name w:val="p16"/>
    <w:basedOn w:val="a0"/>
    <w:pPr>
      <w:widowControl/>
      <w:spacing w:after="120"/>
      <w:ind w:left="420"/>
    </w:pPr>
    <w:rPr>
      <w:rFonts w:eastAsia="宋体"/>
      <w:kern w:val="0"/>
      <w:sz w:val="21"/>
      <w:szCs w:val="21"/>
    </w:rPr>
  </w:style>
  <w:style w:type="paragraph" w:customStyle="1" w:styleId="p18">
    <w:name w:val="p18"/>
    <w:basedOn w:val="a0"/>
    <w:pPr>
      <w:widowControl/>
      <w:spacing w:before="100" w:after="100"/>
      <w:jc w:val="left"/>
    </w:pPr>
    <w:rPr>
      <w:rFonts w:ascii="宋体" w:eastAsia="宋体" w:hAnsi="宋体" w:cs="宋体"/>
      <w:kern w:val="0"/>
      <w:sz w:val="24"/>
      <w:szCs w:val="24"/>
    </w:rPr>
  </w:style>
  <w:style w:type="paragraph" w:customStyle="1" w:styleId="p0">
    <w:name w:val="p0"/>
    <w:basedOn w:val="a0"/>
    <w:pPr>
      <w:widowControl/>
    </w:pPr>
    <w:rPr>
      <w:rFonts w:eastAsia="宋体"/>
      <w:kern w:val="0"/>
      <w:sz w:val="21"/>
      <w:szCs w:val="21"/>
    </w:rPr>
  </w:style>
  <w:style w:type="paragraph" w:customStyle="1" w:styleId="10">
    <w:name w:val="正文1"/>
    <w:pPr>
      <w:jc w:val="both"/>
    </w:pPr>
    <w:rPr>
      <w:rFonts w:ascii="Calibri" w:hAnsi="Calibri" w:cs="宋体"/>
      <w:kern w:val="2"/>
      <w:sz w:val="21"/>
      <w:szCs w:val="21"/>
    </w:rPr>
  </w:style>
  <w:style w:type="paragraph" w:customStyle="1" w:styleId="p17">
    <w:name w:val="p17"/>
    <w:basedOn w:val="a0"/>
    <w:pPr>
      <w:widowControl/>
      <w:spacing w:before="100" w:after="100"/>
      <w:jc w:val="left"/>
    </w:pPr>
    <w:rPr>
      <w:rFonts w:ascii="宋体" w:eastAsia="宋体" w:hAnsi="宋体" w:cs="宋体"/>
      <w:kern w:val="0"/>
      <w:sz w:val="24"/>
      <w:szCs w:val="24"/>
    </w:rPr>
  </w:style>
  <w:style w:type="paragraph" w:customStyle="1" w:styleId="Char1">
    <w:name w:val="Char1"/>
    <w:basedOn w:val="a0"/>
    <w:pPr>
      <w:tabs>
        <w:tab w:val="left" w:pos="360"/>
      </w:tabs>
    </w:pPr>
    <w:rPr>
      <w:sz w:val="24"/>
      <w:szCs w:val="36"/>
    </w:rPr>
  </w:style>
  <w:style w:type="paragraph" w:customStyle="1" w:styleId="af2">
    <w:name w:val="列出段落"/>
    <w:basedOn w:val="a0"/>
    <w:qFormat/>
    <w:pPr>
      <w:ind w:firstLineChars="200" w:firstLine="420"/>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537</Words>
  <Characters>3066</Characters>
  <Application>Microsoft Office Word</Application>
  <DocSecurity>0</DocSecurity>
  <Lines>25</Lines>
  <Paragraphs>7</Paragraphs>
  <ScaleCrop>false</ScaleCrop>
  <Company>微软中国</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济发改投资［２００7］　　号</dc:title>
  <dc:creator>微软用户</dc:creator>
  <cp:lastModifiedBy>Administrator</cp:lastModifiedBy>
  <cp:revision>24</cp:revision>
  <cp:lastPrinted>2023-01-31T09:27:00Z</cp:lastPrinted>
  <dcterms:created xsi:type="dcterms:W3CDTF">2024-08-30T07:42:00Z</dcterms:created>
  <dcterms:modified xsi:type="dcterms:W3CDTF">2026-01-29T07:03:00Z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F6DDEB91EA7747109B3C83B1B5160D2C_13</vt:lpwstr>
  </property>
</Properties>
</file>