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99009">
      <w:pPr>
        <w:adjustRightInd w:val="0"/>
        <w:snapToGrid w:val="0"/>
        <w:rPr>
          <w:rFonts w:ascii="黑体" w:eastAsia="黑体"/>
          <w:color w:val="000000" w:themeColor="text1"/>
          <w:sz w:val="28"/>
          <w:szCs w:val="28"/>
          <w14:textFill>
            <w14:solidFill>
              <w14:schemeClr w14:val="tx1"/>
            </w14:solidFill>
          </w14:textFill>
        </w:rPr>
      </w:pPr>
    </w:p>
    <w:p w14:paraId="0B679BEA">
      <w:pPr>
        <w:adjustRightInd w:val="0"/>
        <w:snapToGrid w:val="0"/>
        <w:rPr>
          <w:rFonts w:ascii="黑体" w:eastAsia="黑体"/>
          <w:color w:val="000000" w:themeColor="text1"/>
          <w:sz w:val="28"/>
          <w:szCs w:val="28"/>
          <w14:textFill>
            <w14:solidFill>
              <w14:schemeClr w14:val="tx1"/>
            </w14:solidFill>
          </w14:textFill>
        </w:rPr>
      </w:pPr>
    </w:p>
    <w:p w14:paraId="76A1264D">
      <w:pPr>
        <w:adjustRightInd w:val="0"/>
        <w:snapToGrid w:val="0"/>
        <w:spacing w:line="500" w:lineRule="exact"/>
        <w:jc w:val="both"/>
        <w:rPr>
          <w:rFonts w:ascii="方正小标宋简体" w:eastAsia="方正小标宋简体"/>
          <w:color w:val="000000" w:themeColor="text1"/>
          <w14:textFill>
            <w14:solidFill>
              <w14:schemeClr w14:val="tx1"/>
            </w14:solidFill>
          </w14:textFill>
        </w:rPr>
      </w:pPr>
    </w:p>
    <w:p w14:paraId="714A1816">
      <w:pPr>
        <w:adjustRightInd w:val="0"/>
        <w:snapToGrid w:val="0"/>
        <w:spacing w:line="580" w:lineRule="exact"/>
        <w:jc w:val="center"/>
        <w:rPr>
          <w:rFonts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济南市医疗保障局关于开展</w:t>
      </w:r>
    </w:p>
    <w:p w14:paraId="428AEB9E">
      <w:pPr>
        <w:adjustRightInd w:val="0"/>
        <w:snapToGrid w:val="0"/>
        <w:spacing w:line="580" w:lineRule="exact"/>
        <w:jc w:val="center"/>
        <w:rPr>
          <w:rFonts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医疗服务价格规范治理（第六批）的通知</w:t>
      </w:r>
    </w:p>
    <w:p w14:paraId="667DEE54">
      <w:pPr>
        <w:overflowPunct w:val="0"/>
        <w:adjustRightInd w:val="0"/>
        <w:snapToGrid w:val="0"/>
        <w:spacing w:line="560" w:lineRule="exact"/>
        <w:rPr>
          <w:rFonts w:eastAsia="方正小标宋简体" w:cs="方正小标宋简体"/>
          <w:color w:val="000000" w:themeColor="text1"/>
          <w:sz w:val="44"/>
          <w:szCs w:val="44"/>
          <w14:textFill>
            <w14:solidFill>
              <w14:schemeClr w14:val="tx1"/>
            </w14:solidFill>
          </w14:textFill>
        </w:rPr>
      </w:pPr>
    </w:p>
    <w:p w14:paraId="082CF5DE">
      <w:pPr>
        <w:overflowPunct w:val="0"/>
        <w:adjustRightInd w:val="0"/>
        <w:snapToGrid w:val="0"/>
        <w:spacing w:line="560" w:lineRule="exact"/>
        <w:rPr>
          <w:rFonts w:ascii="仿宋_GB2312" w:cs="仿宋_GB2312"/>
          <w:color w:val="000000" w:themeColor="text1"/>
          <w:kern w:val="0"/>
          <w14:textFill>
            <w14:solidFill>
              <w14:schemeClr w14:val="tx1"/>
            </w14:solidFill>
          </w14:textFill>
        </w:rPr>
      </w:pPr>
      <w:r>
        <w:rPr>
          <w:rFonts w:hint="eastAsia" w:ascii="仿宋_GB2312" w:hAnsi="仿宋_GB2312" w:cs="仿宋_GB2312"/>
          <w:color w:val="000000" w:themeColor="text1"/>
          <w:kern w:val="0"/>
          <w14:textFill>
            <w14:solidFill>
              <w14:schemeClr w14:val="tx1"/>
            </w14:solidFill>
          </w14:textFill>
        </w:rPr>
        <w:t>各区县（功能区）医疗保障部门，市医疗保险事业中心、市医疗保险基金稽核中心、各公立医疗机构：</w:t>
      </w:r>
    </w:p>
    <w:p w14:paraId="3FE107F6">
      <w:pPr>
        <w:pStyle w:val="16"/>
        <w:widowControl w:val="0"/>
        <w:shd w:val="clear" w:color="auto" w:fill="FFFFFF"/>
        <w:overflowPunct w:val="0"/>
        <w:adjustRightInd w:val="0"/>
        <w:snapToGrid w:val="0"/>
        <w:spacing w:before="0" w:beforeAutospacing="0" w:after="0" w:afterAutospacing="0" w:line="560" w:lineRule="exact"/>
        <w:ind w:firstLine="628" w:firstLineChars="200"/>
        <w:jc w:val="both"/>
        <w:rPr>
          <w:rFonts w:ascii="仿宋_GB2312" w:hAnsi="Times New Roman" w:cs="仿宋_GB2312"/>
          <w:color w:val="000000" w:themeColor="text1"/>
          <w:sz w:val="32"/>
          <w:shd w:val="clear" w:color="auto" w:fill="FFFFFF"/>
          <w14:textFill>
            <w14:solidFill>
              <w14:schemeClr w14:val="tx1"/>
            </w14:solidFill>
          </w14:textFill>
        </w:rPr>
      </w:pPr>
      <w:r>
        <w:rPr>
          <w:rFonts w:hint="eastAsia" w:ascii="仿宋_GB2312" w:hAnsi="Times New Roman" w:cs="仿宋_GB2312"/>
          <w:color w:val="000000" w:themeColor="text1"/>
          <w:sz w:val="32"/>
          <w:shd w:val="clear" w:color="auto" w:fill="FFFFFF"/>
          <w14:textFill>
            <w14:solidFill>
              <w14:schemeClr w14:val="tx1"/>
            </w14:solidFill>
          </w14:textFill>
        </w:rPr>
        <w:t>根据山东省医疗保障局《关于开展医疗服务价格规范治理（第六批）的通知》（鲁医保发〔2025〕27号）工作要求，为规范我市检查检验类医疗服务价格，推进地区间医疗服务价格水平相对均衡，现就开展第六批医疗服务价格规范治理工作通知如下：</w:t>
      </w:r>
    </w:p>
    <w:p w14:paraId="36FB38B1">
      <w:pPr>
        <w:pStyle w:val="16"/>
        <w:widowControl w:val="0"/>
        <w:numPr>
          <w:ilvl w:val="0"/>
          <w:numId w:val="2"/>
        </w:numPr>
        <w:shd w:val="clear" w:color="auto" w:fill="FFFFFF"/>
        <w:overflowPunct w:val="0"/>
        <w:adjustRightInd w:val="0"/>
        <w:snapToGrid w:val="0"/>
        <w:spacing w:before="0" w:beforeAutospacing="0" w:after="0" w:afterAutospacing="0" w:line="560" w:lineRule="exact"/>
        <w:ind w:firstLine="628" w:firstLineChars="200"/>
        <w:jc w:val="both"/>
        <w:rPr>
          <w:rFonts w:ascii="Times New Roman" w:hAnsi="Times New Roman" w:eastAsia="黑体" w:cs="黑体"/>
          <w:color w:val="000000" w:themeColor="text1"/>
          <w:sz w:val="32"/>
          <w:shd w:val="clear" w:color="auto" w:fill="FFFFFF"/>
          <w14:textFill>
            <w14:solidFill>
              <w14:schemeClr w14:val="tx1"/>
            </w14:solidFill>
          </w14:textFill>
        </w:rPr>
      </w:pPr>
      <w:r>
        <w:rPr>
          <w:rFonts w:hint="eastAsia" w:ascii="Times New Roman" w:hAnsi="Times New Roman" w:eastAsia="黑体" w:cs="黑体"/>
          <w:color w:val="000000" w:themeColor="text1"/>
          <w:sz w:val="32"/>
          <w:shd w:val="clear" w:color="auto" w:fill="FFFFFF"/>
          <w14:textFill>
            <w14:solidFill>
              <w14:schemeClr w14:val="tx1"/>
            </w14:solidFill>
          </w14:textFill>
        </w:rPr>
        <w:t>调整项目价格</w:t>
      </w:r>
    </w:p>
    <w:p w14:paraId="5EBAAD59">
      <w:pPr>
        <w:pStyle w:val="16"/>
        <w:widowControl w:val="0"/>
        <w:shd w:val="clear" w:color="auto" w:fill="FFFFFF"/>
        <w:overflowPunct w:val="0"/>
        <w:adjustRightInd w:val="0"/>
        <w:snapToGrid w:val="0"/>
        <w:spacing w:before="0" w:beforeAutospacing="0" w:after="0" w:afterAutospacing="0" w:line="560" w:lineRule="exact"/>
        <w:ind w:firstLine="628" w:firstLineChars="200"/>
        <w:jc w:val="both"/>
        <w:rPr>
          <w:rFonts w:ascii="Times New Roman" w:hAnsi="Times New Roman" w:cs="仿宋_GB2312"/>
          <w:color w:val="000000" w:themeColor="text1"/>
          <w:sz w:val="32"/>
          <w:lang w:bidi="ar"/>
          <w14:textFill>
            <w14:solidFill>
              <w14:schemeClr w14:val="tx1"/>
            </w14:solidFill>
          </w14:textFill>
        </w:rPr>
      </w:pPr>
      <w:r>
        <w:rPr>
          <w:rFonts w:hint="eastAsia" w:ascii="Times New Roman" w:hAnsi="Times New Roman" w:cs="仿宋_GB2312"/>
          <w:color w:val="000000" w:themeColor="text1"/>
          <w:sz w:val="32"/>
          <w:shd w:val="clear" w:color="auto" w:fill="FFFFFF"/>
          <w14:textFill>
            <w14:solidFill>
              <w14:schemeClr w14:val="tx1"/>
            </w14:solidFill>
          </w14:textFill>
        </w:rPr>
        <w:t>按照国家、省医疗保障局治理要求，调整我市结核分枝杆菌复合群核酸快速检测、结核分枝杆菌耐药基因检测、连续动态血糖监测、电脑血糖监测项目价格</w:t>
      </w:r>
      <w:r>
        <w:rPr>
          <w:rFonts w:hint="eastAsia" w:ascii="Times New Roman" w:hAnsi="Times New Roman" w:cs="仿宋_GB2312"/>
          <w:color w:val="000000" w:themeColor="text1"/>
          <w:sz w:val="32"/>
          <w:lang w:bidi="ar"/>
          <w14:textFill>
            <w14:solidFill>
              <w14:schemeClr w14:val="tx1"/>
            </w14:solidFill>
          </w14:textFill>
        </w:rPr>
        <w:t>，修订</w:t>
      </w:r>
      <w:r>
        <w:rPr>
          <w:rFonts w:hint="eastAsia" w:ascii="Times New Roman" w:hAnsi="Times New Roman" w:cs="仿宋_GB2312"/>
          <w:color w:val="000000" w:themeColor="text1"/>
          <w:sz w:val="32"/>
          <w:shd w:val="clear" w:color="auto" w:fill="FFFFFF"/>
          <w14:textFill>
            <w14:solidFill>
              <w14:schemeClr w14:val="tx1"/>
            </w14:solidFill>
          </w14:textFill>
        </w:rPr>
        <w:t>结核分枝杆菌菌种鉴定基因芯片检测并制定价格，</w:t>
      </w:r>
      <w:r>
        <w:rPr>
          <w:rFonts w:hint="eastAsia" w:ascii="Times New Roman" w:hAnsi="Times New Roman" w:cs="仿宋_GB2312"/>
          <w:color w:val="000000" w:themeColor="text1"/>
          <w:sz w:val="32"/>
          <w:lang w:bidi="ar"/>
          <w14:textFill>
            <w14:solidFill>
              <w14:schemeClr w14:val="tx1"/>
            </w14:solidFill>
          </w14:textFill>
        </w:rPr>
        <w:t>废止耐药结核分枝杆菌检测等相关医疗服务项目。</w:t>
      </w:r>
    </w:p>
    <w:p w14:paraId="3A992160">
      <w:pPr>
        <w:pStyle w:val="16"/>
        <w:widowControl w:val="0"/>
        <w:shd w:val="clear" w:color="auto" w:fill="FFFFFF"/>
        <w:overflowPunct w:val="0"/>
        <w:adjustRightInd w:val="0"/>
        <w:snapToGrid w:val="0"/>
        <w:spacing w:before="0" w:beforeAutospacing="0" w:after="0" w:afterAutospacing="0" w:line="560" w:lineRule="exact"/>
        <w:ind w:firstLine="628" w:firstLineChars="200"/>
        <w:jc w:val="both"/>
        <w:rPr>
          <w:rFonts w:ascii="Times New Roman" w:hAnsi="Times New Roman" w:cs="仿宋_GB2312"/>
          <w:color w:val="000000" w:themeColor="text1"/>
          <w:sz w:val="32"/>
          <w:shd w:val="clear" w:color="auto" w:fill="FFFFFF"/>
          <w14:textFill>
            <w14:solidFill>
              <w14:schemeClr w14:val="tx1"/>
            </w14:solidFill>
          </w14:textFill>
        </w:rPr>
      </w:pPr>
      <w:r>
        <w:rPr>
          <w:rFonts w:hint="eastAsia" w:ascii="Times New Roman" w:hAnsi="Times New Roman" w:cs="仿宋_GB2312"/>
          <w:color w:val="000000" w:themeColor="text1"/>
          <w:sz w:val="32"/>
          <w:shd w:val="clear" w:color="auto" w:fill="FFFFFF"/>
          <w14:textFill>
            <w14:solidFill>
              <w14:schemeClr w14:val="tx1"/>
            </w14:solidFill>
          </w14:textFill>
        </w:rPr>
        <w:t>附件所列项目价格为治理后我市市级及以下公立医疗机构执行的最高价格，下浮不限，其他相关政策按现行规定执行。</w:t>
      </w:r>
    </w:p>
    <w:p w14:paraId="1FA224E3">
      <w:pPr>
        <w:pStyle w:val="16"/>
        <w:widowControl w:val="0"/>
        <w:shd w:val="clear" w:color="auto" w:fill="FFFFFF"/>
        <w:overflowPunct w:val="0"/>
        <w:adjustRightInd w:val="0"/>
        <w:snapToGrid w:val="0"/>
        <w:spacing w:before="0" w:beforeAutospacing="0" w:after="0" w:afterAutospacing="0" w:line="560" w:lineRule="exact"/>
        <w:ind w:firstLine="628" w:firstLineChars="200"/>
        <w:jc w:val="both"/>
        <w:rPr>
          <w:rFonts w:ascii="Times New Roman" w:hAnsi="Times New Roman" w:cs="仿宋_GB2312"/>
          <w:color w:val="000000" w:themeColor="text1"/>
          <w:sz w:val="32"/>
          <w:shd w:val="clear" w:color="auto" w:fill="FFFFFF"/>
          <w14:textFill>
            <w14:solidFill>
              <w14:schemeClr w14:val="tx1"/>
            </w14:solidFill>
          </w14:textFill>
        </w:rPr>
      </w:pPr>
      <w:r>
        <w:rPr>
          <w:rFonts w:hint="eastAsia" w:ascii="Times New Roman" w:hAnsi="Times New Roman" w:cs="仿宋_GB2312"/>
          <w:color w:val="000000" w:themeColor="text1"/>
          <w:sz w:val="32"/>
          <w:shd w:val="clear" w:color="auto" w:fill="FFFFFF"/>
          <w14:textFill>
            <w14:solidFill>
              <w14:schemeClr w14:val="tx1"/>
            </w14:solidFill>
          </w14:textFill>
        </w:rPr>
        <w:t>各公立医疗机构应在服务场所显著位置做好价格公示，接受社会监督。</w:t>
      </w:r>
    </w:p>
    <w:p w14:paraId="2A6DD71B">
      <w:pPr>
        <w:pStyle w:val="16"/>
        <w:widowControl w:val="0"/>
        <w:shd w:val="clear" w:color="auto" w:fill="FFFFFF"/>
        <w:overflowPunct w:val="0"/>
        <w:adjustRightInd w:val="0"/>
        <w:snapToGrid w:val="0"/>
        <w:spacing w:before="0" w:beforeAutospacing="0" w:after="0" w:afterAutospacing="0" w:line="560" w:lineRule="exact"/>
        <w:ind w:firstLine="628" w:firstLineChars="200"/>
        <w:jc w:val="both"/>
        <w:rPr>
          <w:rFonts w:ascii="Times New Roman" w:hAnsi="Times New Roman" w:eastAsia="黑体" w:cs="黑体"/>
          <w:color w:val="000000" w:themeColor="text1"/>
          <w:sz w:val="32"/>
          <w:shd w:val="clear" w:color="auto" w:fill="FFFFFF"/>
          <w14:textFill>
            <w14:solidFill>
              <w14:schemeClr w14:val="tx1"/>
            </w14:solidFill>
          </w14:textFill>
        </w:rPr>
      </w:pPr>
      <w:r>
        <w:rPr>
          <w:rFonts w:hint="eastAsia" w:ascii="Times New Roman" w:hAnsi="Times New Roman" w:eastAsia="黑体" w:cs="黑体"/>
          <w:color w:val="000000" w:themeColor="text1"/>
          <w:sz w:val="32"/>
          <w:shd w:val="clear" w:color="auto" w:fill="FFFFFF"/>
          <w14:textFill>
            <w14:solidFill>
              <w14:schemeClr w14:val="tx1"/>
            </w14:solidFill>
          </w14:textFill>
        </w:rPr>
        <w:t>二、工作要求</w:t>
      </w:r>
    </w:p>
    <w:p w14:paraId="52E1FAF4">
      <w:pPr>
        <w:overflowPunct w:val="0"/>
        <w:adjustRightInd w:val="0"/>
        <w:snapToGrid w:val="0"/>
        <w:spacing w:line="560" w:lineRule="exact"/>
        <w:ind w:firstLine="628" w:firstLineChars="200"/>
        <w:rPr>
          <w:rFonts w:ascii="仿宋_GB2312" w:cs="仿宋_GB2312"/>
          <w:color w:val="000000" w:themeColor="text1"/>
          <w:kern w:val="0"/>
          <w14:textFill>
            <w14:solidFill>
              <w14:schemeClr w14:val="tx1"/>
            </w14:solidFill>
          </w14:textFill>
        </w:rPr>
      </w:pPr>
      <w:r>
        <w:rPr>
          <w:rFonts w:hint="eastAsia" w:ascii="仿宋_GB2312" w:hAnsi="楷体_GB2312" w:cs="楷体_GB2312"/>
          <w:color w:val="000000" w:themeColor="text1"/>
          <w:kern w:val="0"/>
          <w14:textFill>
            <w14:solidFill>
              <w14:schemeClr w14:val="tx1"/>
            </w14:solidFill>
          </w14:textFill>
        </w:rPr>
        <w:t>（一）</w:t>
      </w:r>
      <w:r>
        <w:rPr>
          <w:rFonts w:hint="eastAsia" w:ascii="仿宋_GB2312" w:hAnsi="仿宋_GB2312" w:cs="仿宋_GB2312"/>
          <w:color w:val="000000" w:themeColor="text1"/>
          <w14:textFill>
            <w14:solidFill>
              <w14:schemeClr w14:val="tx1"/>
            </w14:solidFill>
          </w14:textFill>
        </w:rPr>
        <w:t>各级医保部门</w:t>
      </w:r>
      <w:r>
        <w:rPr>
          <w:rFonts w:hint="eastAsia" w:ascii="仿宋_GB2312" w:cs="仿宋_GB2312"/>
          <w:color w:val="000000" w:themeColor="text1"/>
          <w:kern w:val="0"/>
          <w14:textFill>
            <w14:solidFill>
              <w14:schemeClr w14:val="tx1"/>
            </w14:solidFill>
          </w14:textFill>
        </w:rPr>
        <w:t>密切关注治理后项目服务量和总费用的变化情况，防范同类可替代项目服务量激增，防止设备耗材迭代后以申报新增项目等形式变相回潮。</w:t>
      </w:r>
    </w:p>
    <w:p w14:paraId="42653BCE">
      <w:pPr>
        <w:pStyle w:val="16"/>
        <w:widowControl w:val="0"/>
        <w:shd w:val="clear" w:color="auto" w:fill="FFFFFF"/>
        <w:overflowPunct w:val="0"/>
        <w:adjustRightInd w:val="0"/>
        <w:snapToGrid w:val="0"/>
        <w:spacing w:before="0" w:beforeAutospacing="0" w:after="0" w:afterAutospacing="0" w:line="560" w:lineRule="exact"/>
        <w:ind w:firstLine="628" w:firstLineChars="200"/>
        <w:jc w:val="both"/>
        <w:rPr>
          <w:rFonts w:ascii="仿宋_GB2312" w:hAnsi="Times New Roman" w:cs="仿宋_GB2312"/>
          <w:color w:val="000000" w:themeColor="text1"/>
          <w:sz w:val="32"/>
          <w14:textFill>
            <w14:solidFill>
              <w14:schemeClr w14:val="tx1"/>
            </w14:solidFill>
          </w14:textFill>
        </w:rPr>
      </w:pPr>
      <w:r>
        <w:rPr>
          <w:rFonts w:hint="eastAsia" w:ascii="仿宋_GB2312" w:hAnsi="Times New Roman" w:cs="仿宋_GB2312"/>
          <w:color w:val="000000" w:themeColor="text1"/>
          <w:sz w:val="32"/>
          <w14:textFill>
            <w14:solidFill>
              <w14:schemeClr w14:val="tx1"/>
            </w14:solidFill>
          </w14:textFill>
        </w:rPr>
        <w:t>（二）各级医保部门及时做好相关信息系统维护，指导定点医疗机构做好项目对应、费用结算工作。同时做好对所辖定点医疗机构的政策指导及跟踪监测，重大问题及时报告市医保局。</w:t>
      </w:r>
    </w:p>
    <w:p w14:paraId="40B42D85">
      <w:pPr>
        <w:overflowPunct w:val="0"/>
        <w:adjustRightInd w:val="0"/>
        <w:snapToGrid w:val="0"/>
        <w:spacing w:line="560" w:lineRule="exact"/>
        <w:ind w:firstLine="628" w:firstLineChars="200"/>
        <w:rPr>
          <w:rFonts w:ascii="仿宋_GB2312" w:cs="仿宋_GB2312"/>
          <w:color w:val="000000" w:themeColor="text1"/>
          <w:kern w:val="0"/>
          <w14:textFill>
            <w14:solidFill>
              <w14:schemeClr w14:val="tx1"/>
            </w14:solidFill>
          </w14:textFill>
        </w:rPr>
      </w:pPr>
      <w:r>
        <w:rPr>
          <w:rFonts w:hint="eastAsia" w:ascii="仿宋_GB2312" w:cs="仿宋_GB2312"/>
          <w:color w:val="000000" w:themeColor="text1"/>
          <w:kern w:val="0"/>
          <w14:textFill>
            <w14:solidFill>
              <w14:schemeClr w14:val="tx1"/>
            </w14:solidFill>
          </w14:textFill>
        </w:rPr>
        <w:t>本通知自2025年10月15日起施行。</w:t>
      </w:r>
    </w:p>
    <w:p w14:paraId="5B431F6E">
      <w:pPr>
        <w:overflowPunct w:val="0"/>
        <w:adjustRightInd w:val="0"/>
        <w:snapToGrid w:val="0"/>
        <w:spacing w:line="560" w:lineRule="exact"/>
        <w:ind w:firstLine="628" w:firstLineChars="200"/>
        <w:rPr>
          <w:rFonts w:ascii="仿宋_GB2312" w:cs="仿宋_GB2312"/>
          <w:color w:val="000000" w:themeColor="text1"/>
          <w:kern w:val="0"/>
          <w14:textFill>
            <w14:solidFill>
              <w14:schemeClr w14:val="tx1"/>
            </w14:solidFill>
          </w14:textFill>
        </w:rPr>
      </w:pPr>
    </w:p>
    <w:p w14:paraId="3919B02E">
      <w:pPr>
        <w:overflowPunct w:val="0"/>
        <w:adjustRightInd w:val="0"/>
        <w:snapToGrid w:val="0"/>
        <w:spacing w:line="560" w:lineRule="exact"/>
        <w:ind w:firstLine="628" w:firstLineChars="200"/>
        <w:rPr>
          <w:rFonts w:ascii="仿宋_GB2312" w:cs="仿宋_GB2312"/>
          <w:color w:val="000000" w:themeColor="text1"/>
          <w:kern w:val="0"/>
          <w14:textFill>
            <w14:solidFill>
              <w14:schemeClr w14:val="tx1"/>
            </w14:solidFill>
          </w14:textFill>
        </w:rPr>
      </w:pPr>
      <w:r>
        <w:rPr>
          <w:rFonts w:hint="eastAsia" w:ascii="仿宋_GB2312" w:cs="仿宋_GB2312"/>
          <w:color w:val="000000" w:themeColor="text1"/>
          <w:kern w:val="0"/>
          <w14:textFill>
            <w14:solidFill>
              <w14:schemeClr w14:val="tx1"/>
            </w14:solidFill>
          </w14:textFill>
        </w:rPr>
        <w:t>附件：第六批医疗服务价格规范治理项目价格表</w:t>
      </w:r>
    </w:p>
    <w:p w14:paraId="1F9BD91D">
      <w:pPr>
        <w:overflowPunct w:val="0"/>
        <w:adjustRightInd w:val="0"/>
        <w:snapToGrid w:val="0"/>
        <w:spacing w:line="580" w:lineRule="exact"/>
        <w:ind w:firstLine="628" w:firstLineChars="200"/>
        <w:rPr>
          <w:rFonts w:ascii="仿宋_GB2312" w:hAnsi="仿宋_GB2312" w:cs="仿宋_GB2312"/>
          <w:color w:val="000000" w:themeColor="text1"/>
          <w:lang w:bidi="ar"/>
          <w14:textFill>
            <w14:solidFill>
              <w14:schemeClr w14:val="tx1"/>
            </w14:solidFill>
          </w14:textFill>
        </w:rPr>
      </w:pPr>
    </w:p>
    <w:p w14:paraId="38E4E9B4">
      <w:pPr>
        <w:overflowPunct w:val="0"/>
        <w:adjustRightInd w:val="0"/>
        <w:snapToGrid w:val="0"/>
        <w:spacing w:line="580" w:lineRule="exact"/>
        <w:ind w:firstLine="628" w:firstLineChars="200"/>
        <w:rPr>
          <w:rFonts w:ascii="仿宋_GB2312" w:hAnsi="仿宋_GB2312" w:cs="仿宋_GB2312"/>
          <w:color w:val="000000" w:themeColor="text1"/>
          <w:lang w:bidi="ar"/>
          <w14:textFill>
            <w14:solidFill>
              <w14:schemeClr w14:val="tx1"/>
            </w14:solidFill>
          </w14:textFill>
        </w:rPr>
      </w:pPr>
    </w:p>
    <w:p w14:paraId="40E672C3">
      <w:pPr>
        <w:overflowPunct w:val="0"/>
        <w:adjustRightInd w:val="0"/>
        <w:snapToGrid w:val="0"/>
        <w:spacing w:line="580" w:lineRule="exact"/>
        <w:ind w:firstLine="628" w:firstLineChars="200"/>
        <w:rPr>
          <w:rFonts w:ascii="仿宋_GB2312" w:hAnsi="仿宋_GB2312" w:cs="仿宋_GB2312"/>
          <w:color w:val="000000" w:themeColor="text1"/>
          <w:lang w:bidi="ar"/>
          <w14:textFill>
            <w14:solidFill>
              <w14:schemeClr w14:val="tx1"/>
            </w14:solidFill>
          </w14:textFill>
        </w:rPr>
      </w:pPr>
    </w:p>
    <w:p w14:paraId="63CD6A8B">
      <w:pPr>
        <w:widowControl/>
        <w:tabs>
          <w:tab w:val="left" w:pos="2823"/>
        </w:tabs>
        <w:wordWrap w:val="0"/>
        <w:adjustRightInd w:val="0"/>
        <w:snapToGrid w:val="0"/>
        <w:spacing w:line="580" w:lineRule="exact"/>
        <w:ind w:left="211"/>
        <w:jc w:val="right"/>
        <w:rPr>
          <w:rFonts w:ascii="仿宋_GB2312" w:hAnsi="仿宋" w:cs="宋体"/>
          <w:color w:val="000000" w:themeColor="text1"/>
          <w:kern w:val="0"/>
          <w14:textFill>
            <w14:solidFill>
              <w14:schemeClr w14:val="tx1"/>
            </w14:solidFill>
          </w14:textFill>
        </w:rPr>
      </w:pPr>
      <w:r>
        <w:rPr>
          <w:rFonts w:hint="eastAsia" w:ascii="仿宋_GB2312" w:hAnsi="仿宋" w:cs="宋体"/>
          <w:color w:val="000000" w:themeColor="text1"/>
          <w:kern w:val="0"/>
          <w14:textFill>
            <w14:solidFill>
              <w14:schemeClr w14:val="tx1"/>
            </w14:solidFill>
          </w14:textFill>
        </w:rPr>
        <w:t>济南市医疗保障局</w:t>
      </w:r>
      <w:r>
        <w:rPr>
          <w:rFonts w:hint="eastAsia" w:ascii="仿宋_GB2312" w:hAnsi="仿宋" w:cs="宋体"/>
          <w:color w:val="000000" w:themeColor="text1"/>
          <w:kern w:val="0"/>
          <w14:textFill>
            <w14:solidFill>
              <w14:schemeClr w14:val="tx1"/>
            </w14:solidFill>
          </w14:textFill>
        </w:rPr>
        <w:tab/>
      </w:r>
      <w:r>
        <w:rPr>
          <w:rFonts w:hint="eastAsia" w:ascii="仿宋_GB2312" w:hAnsi="仿宋" w:cs="宋体"/>
          <w:color w:val="000000" w:themeColor="text1"/>
          <w:kern w:val="0"/>
          <w14:textFill>
            <w14:solidFill>
              <w14:schemeClr w14:val="tx1"/>
            </w14:solidFill>
          </w14:textFill>
        </w:rPr>
        <w:t xml:space="preserve">      </w:t>
      </w:r>
    </w:p>
    <w:p w14:paraId="5A7D502E">
      <w:pPr>
        <w:widowControl/>
        <w:tabs>
          <w:tab w:val="left" w:pos="2308"/>
        </w:tabs>
        <w:wordWrap w:val="0"/>
        <w:adjustRightInd w:val="0"/>
        <w:snapToGrid w:val="0"/>
        <w:spacing w:line="580" w:lineRule="exact"/>
        <w:rPr>
          <w:rFonts w:ascii="仿宋_GB2312" w:hAnsi="仿宋" w:cs="宋体"/>
          <w:color w:val="000000" w:themeColor="text1"/>
          <w:kern w:val="0"/>
          <w14:textFill>
            <w14:solidFill>
              <w14:schemeClr w14:val="tx1"/>
            </w14:solidFill>
          </w14:textFill>
        </w:rPr>
      </w:pPr>
      <w:r>
        <w:rPr>
          <w:rFonts w:hint="eastAsia" w:ascii="仿宋_GB2312" w:hAnsi="仿宋" w:cs="宋体"/>
          <w:color w:val="000000" w:themeColor="text1"/>
          <w:kern w:val="0"/>
          <w14:textFill>
            <w14:solidFill>
              <w14:schemeClr w14:val="tx1"/>
            </w14:solidFill>
          </w14:textFill>
        </w:rPr>
        <w:t xml:space="preserve">                                  2025年</w:t>
      </w:r>
      <w:r>
        <w:rPr>
          <w:rFonts w:ascii="仿宋_GB2312" w:hAnsi="仿宋" w:cs="宋体"/>
          <w:color w:val="000000" w:themeColor="text1"/>
          <w:kern w:val="0"/>
          <w14:textFill>
            <w14:solidFill>
              <w14:schemeClr w14:val="tx1"/>
            </w14:solidFill>
          </w14:textFill>
        </w:rPr>
        <w:t>10</w:t>
      </w:r>
      <w:r>
        <w:rPr>
          <w:rFonts w:hint="eastAsia" w:ascii="仿宋_GB2312" w:hAnsi="仿宋" w:cs="宋体"/>
          <w:color w:val="000000" w:themeColor="text1"/>
          <w:kern w:val="0"/>
          <w14:textFill>
            <w14:solidFill>
              <w14:schemeClr w14:val="tx1"/>
            </w14:solidFill>
          </w14:textFill>
        </w:rPr>
        <w:t>月</w:t>
      </w:r>
      <w:r>
        <w:rPr>
          <w:rFonts w:ascii="仿宋_GB2312" w:hAnsi="仿宋" w:cs="宋体"/>
          <w:color w:val="000000" w:themeColor="text1"/>
          <w:kern w:val="0"/>
          <w14:textFill>
            <w14:solidFill>
              <w14:schemeClr w14:val="tx1"/>
            </w14:solidFill>
          </w14:textFill>
        </w:rPr>
        <w:t>9</w:t>
      </w:r>
      <w:r>
        <w:rPr>
          <w:rFonts w:hint="eastAsia" w:ascii="仿宋_GB2312" w:hAnsi="仿宋" w:cs="宋体"/>
          <w:color w:val="000000" w:themeColor="text1"/>
          <w:kern w:val="0"/>
          <w14:textFill>
            <w14:solidFill>
              <w14:schemeClr w14:val="tx1"/>
            </w14:solidFill>
          </w14:textFill>
        </w:rPr>
        <w:t xml:space="preserve">日 </w:t>
      </w:r>
    </w:p>
    <w:p w14:paraId="1FDEC9EE">
      <w:pPr>
        <w:overflowPunct w:val="0"/>
        <w:adjustRightInd w:val="0"/>
        <w:snapToGrid w:val="0"/>
        <w:spacing w:line="580" w:lineRule="exact"/>
        <w:ind w:firstLine="628" w:firstLineChars="200"/>
        <w:rPr>
          <w:rFonts w:ascii="仿宋_GB2312" w:hAnsi="仿宋_GB2312" w:cs="仿宋_GB2312"/>
          <w:color w:val="000000" w:themeColor="text1"/>
          <w:lang w:bidi="ar"/>
          <w14:textFill>
            <w14:solidFill>
              <w14:schemeClr w14:val="tx1"/>
            </w14:solidFill>
          </w14:textFill>
        </w:rPr>
      </w:pPr>
      <w:r>
        <w:rPr>
          <w:rFonts w:hint="eastAsia" w:ascii="仿宋_GB2312" w:hAnsi="仿宋_GB2312" w:cs="仿宋_GB2312"/>
          <w:color w:val="000000" w:themeColor="text1"/>
          <w:lang w:bidi="ar"/>
          <w14:textFill>
            <w14:solidFill>
              <w14:schemeClr w14:val="tx1"/>
            </w14:solidFill>
          </w14:textFill>
        </w:rPr>
        <w:t>（此件主动公开）</w:t>
      </w:r>
    </w:p>
    <w:p w14:paraId="40F58375">
      <w:pPr>
        <w:overflowPunct w:val="0"/>
        <w:adjustRightInd w:val="0"/>
        <w:snapToGrid w:val="0"/>
        <w:spacing w:line="580" w:lineRule="exact"/>
        <w:ind w:firstLine="628" w:firstLineChars="200"/>
        <w:rPr>
          <w:rFonts w:ascii="仿宋_GB2312" w:hAnsi="仿宋_GB2312" w:cs="仿宋_GB2312"/>
          <w:color w:val="000000" w:themeColor="text1"/>
          <w:lang w:bidi="ar"/>
          <w14:textFill>
            <w14:solidFill>
              <w14:schemeClr w14:val="tx1"/>
            </w14:solidFill>
          </w14:textFill>
        </w:rPr>
        <w:sectPr>
          <w:headerReference r:id="rId3" w:type="default"/>
          <w:footerReference r:id="rId5" w:type="default"/>
          <w:headerReference r:id="rId4" w:type="even"/>
          <w:footerReference r:id="rId6" w:type="even"/>
          <w:pgSz w:w="11906" w:h="16838"/>
          <w:pgMar w:top="1985" w:right="1474" w:bottom="1701" w:left="1644" w:header="851" w:footer="992" w:gutter="0"/>
          <w:cols w:space="720" w:num="1"/>
          <w:docGrid w:type="linesAndChars" w:linePitch="597" w:charSpace="-1259"/>
        </w:sectPr>
      </w:pPr>
    </w:p>
    <w:p w14:paraId="25C0EABC">
      <w:pPr>
        <w:tabs>
          <w:tab w:val="left" w:pos="1988"/>
          <w:tab w:val="left" w:pos="3883"/>
          <w:tab w:val="left" w:pos="6503"/>
          <w:tab w:val="left" w:pos="7435"/>
          <w:tab w:val="left" w:pos="8279"/>
          <w:tab w:val="left" w:pos="9003"/>
          <w:tab w:val="left" w:pos="9745"/>
          <w:tab w:val="left" w:pos="10435"/>
          <w:tab w:val="left" w:pos="12121"/>
        </w:tabs>
        <w:adjustRightInd w:val="0"/>
        <w:snapToGrid w:val="0"/>
        <w:rPr>
          <w:rFonts w:ascii="宋体" w:hAnsi="宋体" w:cs="宋体"/>
          <w:color w:val="000000" w:themeColor="text1"/>
          <w:sz w:val="22"/>
          <w:szCs w:val="22"/>
          <w14:textFill>
            <w14:solidFill>
              <w14:schemeClr w14:val="tx1"/>
            </w14:solidFill>
          </w14:textFill>
        </w:rPr>
      </w:pPr>
      <w:r>
        <w:rPr>
          <w:rFonts w:hint="eastAsia" w:ascii="黑体" w:hAnsi="黑体" w:eastAsia="黑体" w:cs="黑体"/>
          <w:color w:val="000000" w:themeColor="text1"/>
          <w:kern w:val="0"/>
          <w:lang w:bidi="ar"/>
          <w14:textFill>
            <w14:solidFill>
              <w14:schemeClr w14:val="tx1"/>
            </w14:solidFill>
          </w14:textFill>
        </w:rPr>
        <w:t>附件</w:t>
      </w:r>
    </w:p>
    <w:p w14:paraId="1D3BA7BC">
      <w:pPr>
        <w:tabs>
          <w:tab w:val="left" w:pos="1675"/>
          <w:tab w:val="left" w:pos="2441"/>
        </w:tabs>
        <w:overflowPunct w:val="0"/>
        <w:adjustRightInd w:val="0"/>
        <w:snapToGrid w:val="0"/>
        <w:spacing w:line="660" w:lineRule="exact"/>
        <w:jc w:val="center"/>
        <w:textAlignment w:val="center"/>
        <w:rPr>
          <w:rFonts w:ascii="方正小标宋简体" w:hAnsi="方正小标宋简体" w:eastAsia="方正小标宋简体" w:cs="方正小标宋简体"/>
          <w:color w:val="000000" w:themeColor="text1"/>
          <w:kern w:val="0"/>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第六批医疗服务价格规范治理项目价格表</w:t>
      </w:r>
    </w:p>
    <w:p w14:paraId="149E8B9A">
      <w:pPr>
        <w:overflowPunct w:val="0"/>
        <w:adjustRightInd w:val="0"/>
        <w:snapToGrid w:val="0"/>
        <w:jc w:val="right"/>
        <w:textAlignment w:val="center"/>
        <w:rPr>
          <w:rFonts w:ascii="方正宋三_GBK" w:hAnsi="方正小标宋简体" w:eastAsia="方正宋三_GBK" w:cs="方正小标宋简体"/>
          <w:color w:val="000000" w:themeColor="text1"/>
          <w:kern w:val="0"/>
          <w:sz w:val="21"/>
          <w:szCs w:val="21"/>
          <w:lang w:bidi="ar"/>
          <w14:textFill>
            <w14:solidFill>
              <w14:schemeClr w14:val="tx1"/>
            </w14:solidFill>
          </w14:textFill>
        </w:rPr>
      </w:pPr>
      <w:r>
        <w:rPr>
          <w:rFonts w:hint="eastAsia" w:ascii="方正宋三_GBK" w:hAnsi="方正小标宋简体" w:eastAsia="方正宋三_GBK" w:cs="方正小标宋简体"/>
          <w:color w:val="000000" w:themeColor="text1"/>
          <w:kern w:val="0"/>
          <w:sz w:val="21"/>
          <w:szCs w:val="21"/>
          <w:lang w:bidi="ar"/>
          <w14:textFill>
            <w14:solidFill>
              <w14:schemeClr w14:val="tx1"/>
            </w14:solidFill>
          </w14:textFill>
        </w:rPr>
        <w:t>单位：元</w:t>
      </w:r>
    </w:p>
    <w:tbl>
      <w:tblPr>
        <w:tblStyle w:val="18"/>
        <w:tblW w:w="137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559"/>
        <w:gridCol w:w="2409"/>
        <w:gridCol w:w="1702"/>
        <w:gridCol w:w="851"/>
        <w:gridCol w:w="714"/>
        <w:gridCol w:w="845"/>
        <w:gridCol w:w="1332"/>
        <w:gridCol w:w="1445"/>
        <w:gridCol w:w="1655"/>
      </w:tblGrid>
      <w:tr w14:paraId="53A2B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14:paraId="3753BDAB">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bookmarkStart w:id="0" w:name="_Hlk210986033"/>
            <w:r>
              <w:rPr>
                <w:rFonts w:hint="eastAsia" w:ascii="黑体" w:hAnsi="黑体" w:eastAsia="黑体" w:cs="黑体"/>
                <w:color w:val="000000" w:themeColor="text1"/>
                <w:kern w:val="2"/>
                <w:sz w:val="21"/>
                <w:szCs w:val="21"/>
                <w14:textFill>
                  <w14:solidFill>
                    <w14:schemeClr w14:val="tx1"/>
                  </w14:solidFill>
                </w14:textFill>
              </w:rPr>
              <w:t>项目编码</w:t>
            </w:r>
          </w:p>
        </w:tc>
        <w:tc>
          <w:tcPr>
            <w:tcW w:w="1559" w:type="dxa"/>
            <w:vAlign w:val="center"/>
          </w:tcPr>
          <w:p w14:paraId="22A009F0">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项目名称</w:t>
            </w:r>
          </w:p>
        </w:tc>
        <w:tc>
          <w:tcPr>
            <w:tcW w:w="2409" w:type="dxa"/>
            <w:vAlign w:val="center"/>
          </w:tcPr>
          <w:p w14:paraId="70A9F43B">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项目内涵</w:t>
            </w:r>
          </w:p>
        </w:tc>
        <w:tc>
          <w:tcPr>
            <w:tcW w:w="1702" w:type="dxa"/>
            <w:vAlign w:val="center"/>
          </w:tcPr>
          <w:p w14:paraId="430B768A">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除外内容</w:t>
            </w:r>
          </w:p>
        </w:tc>
        <w:tc>
          <w:tcPr>
            <w:tcW w:w="851" w:type="dxa"/>
            <w:vAlign w:val="center"/>
          </w:tcPr>
          <w:p w14:paraId="29CF76C2">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计价</w:t>
            </w:r>
          </w:p>
          <w:p w14:paraId="170BB62A">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单位</w:t>
            </w:r>
          </w:p>
        </w:tc>
        <w:tc>
          <w:tcPr>
            <w:tcW w:w="714" w:type="dxa"/>
            <w:vAlign w:val="center"/>
          </w:tcPr>
          <w:p w14:paraId="375819E3">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三级价格</w:t>
            </w:r>
          </w:p>
        </w:tc>
        <w:tc>
          <w:tcPr>
            <w:tcW w:w="845" w:type="dxa"/>
            <w:vAlign w:val="center"/>
          </w:tcPr>
          <w:p w14:paraId="2BCF85DC">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二级</w:t>
            </w:r>
          </w:p>
          <w:p w14:paraId="49E5EEE2">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价格</w:t>
            </w:r>
          </w:p>
        </w:tc>
        <w:tc>
          <w:tcPr>
            <w:tcW w:w="1332" w:type="dxa"/>
            <w:vAlign w:val="center"/>
          </w:tcPr>
          <w:p w14:paraId="150A30A4">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一级及以下价格</w:t>
            </w:r>
          </w:p>
        </w:tc>
        <w:tc>
          <w:tcPr>
            <w:tcW w:w="1445" w:type="dxa"/>
            <w:vAlign w:val="center"/>
          </w:tcPr>
          <w:p w14:paraId="42F8C391">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说明</w:t>
            </w:r>
          </w:p>
        </w:tc>
        <w:tc>
          <w:tcPr>
            <w:tcW w:w="1655" w:type="dxa"/>
            <w:vAlign w:val="center"/>
          </w:tcPr>
          <w:p w14:paraId="5C737029">
            <w:pPr>
              <w:pStyle w:val="16"/>
              <w:adjustRightInd w:val="0"/>
              <w:snapToGrid w:val="0"/>
              <w:spacing w:before="0" w:beforeAutospacing="0" w:after="0" w:afterAutospacing="0"/>
              <w:jc w:val="center"/>
              <w:rPr>
                <w:rFonts w:ascii="黑体" w:hAnsi="黑体" w:eastAsia="黑体" w:cs="黑体"/>
                <w:color w:val="000000" w:themeColor="text1"/>
                <w:kern w:val="2"/>
                <w:sz w:val="21"/>
                <w:szCs w:val="21"/>
                <w14:textFill>
                  <w14:solidFill>
                    <w14:schemeClr w14:val="tx1"/>
                  </w14:solidFill>
                </w14:textFill>
              </w:rPr>
            </w:pPr>
            <w:r>
              <w:rPr>
                <w:rFonts w:hint="eastAsia" w:ascii="黑体" w:hAnsi="黑体" w:eastAsia="黑体" w:cs="黑体"/>
                <w:color w:val="000000" w:themeColor="text1"/>
                <w:kern w:val="2"/>
                <w:sz w:val="21"/>
                <w:szCs w:val="21"/>
                <w14:textFill>
                  <w14:solidFill>
                    <w14:schemeClr w14:val="tx1"/>
                  </w14:solidFill>
                </w14:textFill>
              </w:rPr>
              <w:t>修订说明</w:t>
            </w:r>
          </w:p>
        </w:tc>
      </w:tr>
      <w:tr w14:paraId="76657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14:paraId="235E10BD">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250403083</w:t>
            </w:r>
          </w:p>
        </w:tc>
        <w:tc>
          <w:tcPr>
            <w:tcW w:w="1559" w:type="dxa"/>
            <w:shd w:val="clear" w:color="auto" w:fill="auto"/>
            <w:vAlign w:val="center"/>
          </w:tcPr>
          <w:p w14:paraId="6AB4E1BF">
            <w:pPr>
              <w:widowControl/>
              <w:tabs>
                <w:tab w:val="left" w:pos="577"/>
              </w:tabs>
              <w:adjustRightInd w:val="0"/>
              <w:snapToGrid w:val="0"/>
              <w:jc w:val="center"/>
              <w:textAlignment w:val="center"/>
              <w:rPr>
                <w:rFonts w:ascii="方正宋三_GBK" w:eastAsia="方正宋三_GBK"/>
                <w:color w:val="000000" w:themeColor="text1"/>
                <w:kern w:val="0"/>
                <w:sz w:val="21"/>
                <w:szCs w:val="21"/>
                <w:lang w:bidi="ar"/>
                <w14:textFill>
                  <w14:solidFill>
                    <w14:schemeClr w14:val="tx1"/>
                  </w14:solidFill>
                </w14:textFill>
              </w:rPr>
            </w:pPr>
            <w:r>
              <w:rPr>
                <w:rFonts w:hint="eastAsia" w:ascii="方正宋三_GBK" w:eastAsia="方正宋三_GBK"/>
                <w:color w:val="000000" w:themeColor="text1"/>
                <w:kern w:val="0"/>
                <w:sz w:val="21"/>
                <w:szCs w:val="21"/>
                <w:lang w:bidi="ar"/>
                <w14:textFill>
                  <w14:solidFill>
                    <w14:schemeClr w14:val="tx1"/>
                  </w14:solidFill>
                </w14:textFill>
              </w:rPr>
              <w:t>结核分枝杆菌菌种鉴定检测</w:t>
            </w:r>
          </w:p>
        </w:tc>
        <w:tc>
          <w:tcPr>
            <w:tcW w:w="2409" w:type="dxa"/>
            <w:vAlign w:val="center"/>
          </w:tcPr>
          <w:p w14:paraId="38455A58">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702" w:type="dxa"/>
            <w:vAlign w:val="center"/>
          </w:tcPr>
          <w:p w14:paraId="57A7A268">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851" w:type="dxa"/>
            <w:vAlign w:val="center"/>
          </w:tcPr>
          <w:p w14:paraId="550E51B6">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人次</w:t>
            </w:r>
          </w:p>
        </w:tc>
        <w:tc>
          <w:tcPr>
            <w:tcW w:w="714" w:type="dxa"/>
            <w:vAlign w:val="center"/>
          </w:tcPr>
          <w:p w14:paraId="21619C78">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350</w:t>
            </w:r>
          </w:p>
        </w:tc>
        <w:tc>
          <w:tcPr>
            <w:tcW w:w="845" w:type="dxa"/>
            <w:vAlign w:val="center"/>
          </w:tcPr>
          <w:p w14:paraId="38BC69E8">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350</w:t>
            </w:r>
          </w:p>
        </w:tc>
        <w:tc>
          <w:tcPr>
            <w:tcW w:w="1332" w:type="dxa"/>
            <w:vAlign w:val="center"/>
          </w:tcPr>
          <w:p w14:paraId="2F37B99B">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350</w:t>
            </w:r>
          </w:p>
        </w:tc>
        <w:tc>
          <w:tcPr>
            <w:tcW w:w="1445" w:type="dxa"/>
            <w:vAlign w:val="center"/>
          </w:tcPr>
          <w:p w14:paraId="07D83E5D">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655" w:type="dxa"/>
            <w:vAlign w:val="center"/>
          </w:tcPr>
          <w:p w14:paraId="0DDD1B1A">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修改项目名称</w:t>
            </w:r>
          </w:p>
        </w:tc>
      </w:tr>
      <w:tr w14:paraId="6F0E7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14:paraId="2DF13C25">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250403084</w:t>
            </w:r>
          </w:p>
        </w:tc>
        <w:tc>
          <w:tcPr>
            <w:tcW w:w="1559" w:type="dxa"/>
            <w:shd w:val="clear" w:color="auto" w:fill="auto"/>
            <w:vAlign w:val="center"/>
          </w:tcPr>
          <w:p w14:paraId="1A9D2B97">
            <w:pPr>
              <w:widowControl/>
              <w:tabs>
                <w:tab w:val="left" w:pos="577"/>
              </w:tabs>
              <w:adjustRightInd w:val="0"/>
              <w:snapToGrid w:val="0"/>
              <w:jc w:val="center"/>
              <w:textAlignment w:val="center"/>
              <w:rPr>
                <w:rFonts w:ascii="方正宋三_GBK" w:eastAsia="方正宋三_GBK"/>
                <w:color w:val="000000" w:themeColor="text1"/>
                <w:kern w:val="0"/>
                <w:sz w:val="21"/>
                <w:szCs w:val="21"/>
                <w:lang w:bidi="ar"/>
                <w14:textFill>
                  <w14:solidFill>
                    <w14:schemeClr w14:val="tx1"/>
                  </w14:solidFill>
                </w14:textFill>
              </w:rPr>
            </w:pPr>
            <w:r>
              <w:rPr>
                <w:rFonts w:hint="eastAsia" w:ascii="方正宋三_GBK" w:eastAsia="方正宋三_GBK"/>
                <w:color w:val="000000" w:themeColor="text1"/>
                <w:kern w:val="0"/>
                <w:sz w:val="21"/>
                <w:szCs w:val="21"/>
                <w:lang w:bidi="ar"/>
                <w14:textFill>
                  <w14:solidFill>
                    <w14:schemeClr w14:val="tx1"/>
                  </w14:solidFill>
                </w14:textFill>
              </w:rPr>
              <w:t>耐药结核分枝杆菌检测</w:t>
            </w:r>
          </w:p>
        </w:tc>
        <w:tc>
          <w:tcPr>
            <w:tcW w:w="2409" w:type="dxa"/>
            <w:vAlign w:val="center"/>
          </w:tcPr>
          <w:p w14:paraId="1A9DF2A9">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702" w:type="dxa"/>
            <w:vAlign w:val="center"/>
          </w:tcPr>
          <w:p w14:paraId="3872F6B7">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851" w:type="dxa"/>
            <w:vAlign w:val="center"/>
          </w:tcPr>
          <w:p w14:paraId="2D6FA299">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人次</w:t>
            </w:r>
          </w:p>
        </w:tc>
        <w:tc>
          <w:tcPr>
            <w:tcW w:w="714" w:type="dxa"/>
            <w:vAlign w:val="center"/>
          </w:tcPr>
          <w:p w14:paraId="2EBD9270">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自主</w:t>
            </w:r>
          </w:p>
          <w:p w14:paraId="39A797C6">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定价</w:t>
            </w:r>
          </w:p>
        </w:tc>
        <w:tc>
          <w:tcPr>
            <w:tcW w:w="845" w:type="dxa"/>
            <w:vAlign w:val="center"/>
          </w:tcPr>
          <w:p w14:paraId="6D764C89">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自主</w:t>
            </w:r>
          </w:p>
          <w:p w14:paraId="6E631A27">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定价</w:t>
            </w:r>
          </w:p>
        </w:tc>
        <w:tc>
          <w:tcPr>
            <w:tcW w:w="1332" w:type="dxa"/>
            <w:vAlign w:val="center"/>
          </w:tcPr>
          <w:p w14:paraId="6AEF4A11">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自主</w:t>
            </w:r>
          </w:p>
          <w:p w14:paraId="78F970C6">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定价</w:t>
            </w:r>
          </w:p>
        </w:tc>
        <w:tc>
          <w:tcPr>
            <w:tcW w:w="1445" w:type="dxa"/>
            <w:vAlign w:val="center"/>
          </w:tcPr>
          <w:p w14:paraId="14684CDA">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655" w:type="dxa"/>
            <w:vAlign w:val="center"/>
          </w:tcPr>
          <w:p w14:paraId="0058F07C">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废止该项目</w:t>
            </w:r>
          </w:p>
        </w:tc>
      </w:tr>
      <w:tr w14:paraId="06293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14:paraId="19AE18CB">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250403091</w:t>
            </w:r>
          </w:p>
        </w:tc>
        <w:tc>
          <w:tcPr>
            <w:tcW w:w="1559" w:type="dxa"/>
            <w:vAlign w:val="center"/>
          </w:tcPr>
          <w:p w14:paraId="46F9F3D8">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结核分枝杆菌复合群核酸快速检测</w:t>
            </w:r>
          </w:p>
        </w:tc>
        <w:tc>
          <w:tcPr>
            <w:tcW w:w="2409" w:type="dxa"/>
            <w:vAlign w:val="center"/>
          </w:tcPr>
          <w:p w14:paraId="7E0C85F9">
            <w:pPr>
              <w:pStyle w:val="16"/>
              <w:adjustRightInd w:val="0"/>
              <w:snapToGrid w:val="0"/>
              <w:spacing w:before="0" w:beforeAutospacing="0" w:after="0" w:afterAutospacing="0"/>
              <w:jc w:val="both"/>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样本类型：体液。样本采集，5分钟快速核酸提取，闭管上机，40分钟双靶标基因快速扩增。审核结果</w:t>
            </w:r>
          </w:p>
        </w:tc>
        <w:tc>
          <w:tcPr>
            <w:tcW w:w="1702" w:type="dxa"/>
            <w:vAlign w:val="center"/>
          </w:tcPr>
          <w:p w14:paraId="417C9FDC">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851" w:type="dxa"/>
            <w:vAlign w:val="center"/>
          </w:tcPr>
          <w:p w14:paraId="650DA53E">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次</w:t>
            </w:r>
          </w:p>
        </w:tc>
        <w:tc>
          <w:tcPr>
            <w:tcW w:w="714" w:type="dxa"/>
            <w:vAlign w:val="center"/>
          </w:tcPr>
          <w:p w14:paraId="5789320F">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845" w:type="dxa"/>
            <w:vAlign w:val="center"/>
          </w:tcPr>
          <w:p w14:paraId="455250ED">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1332" w:type="dxa"/>
            <w:vAlign w:val="center"/>
          </w:tcPr>
          <w:p w14:paraId="01F76805">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1445" w:type="dxa"/>
            <w:vAlign w:val="center"/>
          </w:tcPr>
          <w:p w14:paraId="0B5E4C14">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655" w:type="dxa"/>
            <w:vAlign w:val="center"/>
          </w:tcPr>
          <w:p w14:paraId="3B9960F4">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r>
      <w:tr w14:paraId="1C84A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14:paraId="766045C4">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250502011</w:t>
            </w:r>
          </w:p>
        </w:tc>
        <w:tc>
          <w:tcPr>
            <w:tcW w:w="1559" w:type="dxa"/>
            <w:shd w:val="clear" w:color="auto" w:fill="auto"/>
            <w:vAlign w:val="center"/>
          </w:tcPr>
          <w:p w14:paraId="666171D4">
            <w:pPr>
              <w:widowControl/>
              <w:tabs>
                <w:tab w:val="left" w:pos="577"/>
              </w:tabs>
              <w:adjustRightInd w:val="0"/>
              <w:snapToGrid w:val="0"/>
              <w:jc w:val="center"/>
              <w:textAlignment w:val="center"/>
              <w:rPr>
                <w:rFonts w:ascii="方正宋三_GBK" w:eastAsia="方正宋三_GBK"/>
                <w:color w:val="000000" w:themeColor="text1"/>
                <w:kern w:val="0"/>
                <w:sz w:val="21"/>
                <w:szCs w:val="21"/>
                <w:lang w:bidi="ar"/>
                <w14:textFill>
                  <w14:solidFill>
                    <w14:schemeClr w14:val="tx1"/>
                  </w14:solidFill>
                </w14:textFill>
              </w:rPr>
            </w:pPr>
            <w:r>
              <w:rPr>
                <w:rFonts w:hint="eastAsia" w:ascii="方正宋三_GBK" w:eastAsia="方正宋三_GBK"/>
                <w:color w:val="000000" w:themeColor="text1"/>
                <w:kern w:val="0"/>
                <w:sz w:val="21"/>
                <w:szCs w:val="21"/>
                <w:lang w:bidi="ar"/>
                <w14:textFill>
                  <w14:solidFill>
                    <w14:schemeClr w14:val="tx1"/>
                  </w14:solidFill>
                </w14:textFill>
              </w:rPr>
              <w:t>结核分枝杆菌耐药基因检测</w:t>
            </w:r>
          </w:p>
        </w:tc>
        <w:tc>
          <w:tcPr>
            <w:tcW w:w="2409" w:type="dxa"/>
            <w:vAlign w:val="center"/>
          </w:tcPr>
          <w:p w14:paraId="4358B525">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702" w:type="dxa"/>
            <w:vAlign w:val="center"/>
          </w:tcPr>
          <w:p w14:paraId="3D2A3232">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851" w:type="dxa"/>
            <w:vAlign w:val="center"/>
          </w:tcPr>
          <w:p w14:paraId="16D47545">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项</w:t>
            </w:r>
          </w:p>
        </w:tc>
        <w:tc>
          <w:tcPr>
            <w:tcW w:w="714" w:type="dxa"/>
            <w:vAlign w:val="center"/>
          </w:tcPr>
          <w:p w14:paraId="6FA38805">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110</w:t>
            </w:r>
          </w:p>
        </w:tc>
        <w:tc>
          <w:tcPr>
            <w:tcW w:w="845" w:type="dxa"/>
            <w:vAlign w:val="center"/>
          </w:tcPr>
          <w:p w14:paraId="6FA60B3E">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110</w:t>
            </w:r>
          </w:p>
        </w:tc>
        <w:tc>
          <w:tcPr>
            <w:tcW w:w="1332" w:type="dxa"/>
            <w:vAlign w:val="center"/>
          </w:tcPr>
          <w:p w14:paraId="500A4B39">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110</w:t>
            </w:r>
          </w:p>
        </w:tc>
        <w:tc>
          <w:tcPr>
            <w:tcW w:w="1445" w:type="dxa"/>
            <w:vAlign w:val="center"/>
          </w:tcPr>
          <w:p w14:paraId="35F4B3BB">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655" w:type="dxa"/>
            <w:vAlign w:val="center"/>
          </w:tcPr>
          <w:p w14:paraId="079FE79A">
            <w:pPr>
              <w:pStyle w:val="16"/>
              <w:adjustRightInd w:val="0"/>
              <w:snapToGrid w:val="0"/>
              <w:spacing w:before="0" w:beforeAutospacing="0" w:after="0" w:afterAutospacing="0"/>
              <w:jc w:val="both"/>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删除原项目内涵“含利福平耐药检测”，计价单位由“次”改为“项”</w:t>
            </w:r>
          </w:p>
        </w:tc>
      </w:tr>
      <w:tr w14:paraId="5CA37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14:paraId="28817922">
            <w:pPr>
              <w:widowControl/>
              <w:adjustRightInd w:val="0"/>
              <w:snapToGrid w:val="0"/>
              <w:jc w:val="center"/>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310205008</w:t>
            </w:r>
          </w:p>
        </w:tc>
        <w:tc>
          <w:tcPr>
            <w:tcW w:w="1559" w:type="dxa"/>
            <w:vAlign w:val="center"/>
          </w:tcPr>
          <w:p w14:paraId="0A10DFB4">
            <w:pPr>
              <w:widowControl/>
              <w:adjustRightInd w:val="0"/>
              <w:snapToGrid w:val="0"/>
              <w:jc w:val="center"/>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电脑血糖监测</w:t>
            </w:r>
          </w:p>
        </w:tc>
        <w:tc>
          <w:tcPr>
            <w:tcW w:w="2409" w:type="dxa"/>
            <w:vAlign w:val="center"/>
          </w:tcPr>
          <w:p w14:paraId="4462A168">
            <w:pPr>
              <w:widowControl/>
              <w:adjustRightInd w:val="0"/>
              <w:snapToGrid w:val="0"/>
              <w:jc w:val="center"/>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 xml:space="preserve"> </w:t>
            </w:r>
          </w:p>
        </w:tc>
        <w:tc>
          <w:tcPr>
            <w:tcW w:w="1702" w:type="dxa"/>
            <w:vAlign w:val="center"/>
          </w:tcPr>
          <w:p w14:paraId="16D6E248">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探头（传感器）</w:t>
            </w:r>
          </w:p>
        </w:tc>
        <w:tc>
          <w:tcPr>
            <w:tcW w:w="851" w:type="dxa"/>
            <w:vAlign w:val="center"/>
          </w:tcPr>
          <w:p w14:paraId="4CB3B348">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天</w:t>
            </w:r>
          </w:p>
        </w:tc>
        <w:tc>
          <w:tcPr>
            <w:tcW w:w="714" w:type="dxa"/>
            <w:vAlign w:val="center"/>
          </w:tcPr>
          <w:p w14:paraId="24F1A3CE">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845" w:type="dxa"/>
            <w:vAlign w:val="center"/>
          </w:tcPr>
          <w:p w14:paraId="6525D6B9">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1332" w:type="dxa"/>
            <w:vAlign w:val="center"/>
          </w:tcPr>
          <w:p w14:paraId="77AB5C95">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1445" w:type="dxa"/>
            <w:vAlign w:val="center"/>
          </w:tcPr>
          <w:p w14:paraId="040BB71E">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c>
          <w:tcPr>
            <w:tcW w:w="1655" w:type="dxa"/>
            <w:vAlign w:val="center"/>
          </w:tcPr>
          <w:p w14:paraId="507CBE75">
            <w:pPr>
              <w:pStyle w:val="16"/>
              <w:adjustRightInd w:val="0"/>
              <w:snapToGrid w:val="0"/>
              <w:spacing w:before="0" w:beforeAutospacing="0" w:after="0" w:afterAutospacing="0"/>
              <w:jc w:val="both"/>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 xml:space="preserve"> 删除原项目内涵“含床旁血糖监测、探头”，除外内容增加“探头（传感器）”</w:t>
            </w:r>
          </w:p>
        </w:tc>
      </w:tr>
      <w:tr w14:paraId="47A76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6" w:type="dxa"/>
            <w:vAlign w:val="center"/>
          </w:tcPr>
          <w:p w14:paraId="050EDC53">
            <w:pPr>
              <w:widowControl/>
              <w:adjustRightInd w:val="0"/>
              <w:snapToGrid w:val="0"/>
              <w:jc w:val="center"/>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310205009</w:t>
            </w:r>
          </w:p>
        </w:tc>
        <w:tc>
          <w:tcPr>
            <w:tcW w:w="1559" w:type="dxa"/>
            <w:vAlign w:val="center"/>
          </w:tcPr>
          <w:p w14:paraId="26270CB5">
            <w:pPr>
              <w:widowControl/>
              <w:adjustRightInd w:val="0"/>
              <w:snapToGrid w:val="0"/>
              <w:jc w:val="center"/>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连续动态血糖监测</w:t>
            </w:r>
          </w:p>
        </w:tc>
        <w:tc>
          <w:tcPr>
            <w:tcW w:w="2409" w:type="dxa"/>
            <w:vAlign w:val="center"/>
          </w:tcPr>
          <w:p w14:paraId="431F4A34">
            <w:pPr>
              <w:widowControl/>
              <w:adjustRightInd w:val="0"/>
              <w:snapToGrid w:val="0"/>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指持续监测72个小时，每24小时测定不少于288个血糖值</w:t>
            </w:r>
          </w:p>
        </w:tc>
        <w:tc>
          <w:tcPr>
            <w:tcW w:w="1702" w:type="dxa"/>
            <w:vAlign w:val="center"/>
          </w:tcPr>
          <w:p w14:paraId="226E8D8D">
            <w:pPr>
              <w:widowControl/>
              <w:adjustRightInd w:val="0"/>
              <w:snapToGrid w:val="0"/>
              <w:jc w:val="center"/>
              <w:textAlignment w:val="center"/>
              <w:rPr>
                <w:rFonts w:ascii="方正宋三_GBK" w:eastAsia="方正宋三_GBK"/>
                <w:color w:val="000000" w:themeColor="text1"/>
                <w:sz w:val="21"/>
                <w:szCs w:val="21"/>
                <w14:textFill>
                  <w14:solidFill>
                    <w14:schemeClr w14:val="tx1"/>
                  </w14:solidFill>
                </w14:textFill>
              </w:rPr>
            </w:pPr>
            <w:r>
              <w:rPr>
                <w:rFonts w:hint="eastAsia" w:ascii="方正宋三_GBK" w:eastAsia="方正宋三_GBK"/>
                <w:color w:val="000000" w:themeColor="text1"/>
                <w:sz w:val="21"/>
                <w:szCs w:val="21"/>
                <w14:textFill>
                  <w14:solidFill>
                    <w14:schemeClr w14:val="tx1"/>
                  </w14:solidFill>
                </w14:textFill>
              </w:rPr>
              <w:t>探头（传感器）</w:t>
            </w:r>
          </w:p>
        </w:tc>
        <w:tc>
          <w:tcPr>
            <w:tcW w:w="851" w:type="dxa"/>
            <w:vAlign w:val="center"/>
          </w:tcPr>
          <w:p w14:paraId="063919D7">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天</w:t>
            </w:r>
          </w:p>
        </w:tc>
        <w:tc>
          <w:tcPr>
            <w:tcW w:w="714" w:type="dxa"/>
            <w:vAlign w:val="center"/>
          </w:tcPr>
          <w:p w14:paraId="57A108BF">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845" w:type="dxa"/>
            <w:vAlign w:val="center"/>
          </w:tcPr>
          <w:p w14:paraId="57D977B4">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1332" w:type="dxa"/>
            <w:vAlign w:val="center"/>
          </w:tcPr>
          <w:p w14:paraId="4CD218F2">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100</w:t>
            </w:r>
          </w:p>
        </w:tc>
        <w:tc>
          <w:tcPr>
            <w:tcW w:w="1445" w:type="dxa"/>
            <w:vAlign w:val="center"/>
          </w:tcPr>
          <w:p w14:paraId="3313CC9D">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r>
              <w:rPr>
                <w:rFonts w:hint="eastAsia" w:ascii="方正宋三_GBK" w:hAnsi="Times New Roman" w:eastAsia="方正宋三_GBK" w:cs="Times New Roman"/>
                <w:color w:val="000000" w:themeColor="text1"/>
                <w:kern w:val="2"/>
                <w:sz w:val="21"/>
                <w:szCs w:val="21"/>
                <w14:textFill>
                  <w14:solidFill>
                    <w14:schemeClr w14:val="tx1"/>
                  </w14:solidFill>
                </w14:textFill>
              </w:rPr>
              <w:t>动态血糖监测装置安装术收40元/次</w:t>
            </w:r>
          </w:p>
        </w:tc>
        <w:tc>
          <w:tcPr>
            <w:tcW w:w="1655" w:type="dxa"/>
            <w:vAlign w:val="center"/>
          </w:tcPr>
          <w:p w14:paraId="199D6E91">
            <w:pPr>
              <w:pStyle w:val="16"/>
              <w:adjustRightInd w:val="0"/>
              <w:snapToGrid w:val="0"/>
              <w:spacing w:before="0" w:beforeAutospacing="0" w:after="0" w:afterAutospacing="0"/>
              <w:jc w:val="center"/>
              <w:rPr>
                <w:rFonts w:ascii="方正宋三_GBK" w:hAnsi="Times New Roman" w:eastAsia="方正宋三_GBK"/>
                <w:color w:val="000000" w:themeColor="text1"/>
                <w:kern w:val="2"/>
                <w:sz w:val="21"/>
                <w:szCs w:val="21"/>
                <w14:textFill>
                  <w14:solidFill>
                    <w14:schemeClr w14:val="tx1"/>
                  </w14:solidFill>
                </w14:textFill>
              </w:rPr>
            </w:pPr>
          </w:p>
        </w:tc>
      </w:tr>
      <w:bookmarkEnd w:id="0"/>
    </w:tbl>
    <w:p w14:paraId="7FF1DFEA">
      <w:pPr>
        <w:tabs>
          <w:tab w:val="left" w:pos="1701"/>
          <w:tab w:val="left" w:pos="1985"/>
        </w:tabs>
        <w:adjustRightInd w:val="0"/>
        <w:snapToGrid w:val="0"/>
        <w:ind w:firstLine="628" w:firstLineChars="200"/>
        <w:jc w:val="left"/>
        <w:rPr>
          <w:rFonts w:ascii="仿宋" w:hAnsi="仿宋" w:eastAsia="宋体"/>
          <w:color w:val="000000" w:themeColor="text1"/>
          <w14:textFill>
            <w14:solidFill>
              <w14:schemeClr w14:val="tx1"/>
            </w14:solidFill>
          </w14:textFill>
        </w:rPr>
        <w:sectPr>
          <w:headerReference r:id="rId7" w:type="default"/>
          <w:footerReference r:id="rId9" w:type="default"/>
          <w:headerReference r:id="rId8" w:type="even"/>
          <w:footerReference r:id="rId10" w:type="even"/>
          <w:pgSz w:w="16838" w:h="11906" w:orient="landscape"/>
          <w:pgMar w:top="1644" w:right="1701" w:bottom="1474" w:left="1701" w:header="851" w:footer="992" w:gutter="0"/>
          <w:cols w:space="720" w:num="1"/>
          <w:docGrid w:type="linesAndChars" w:linePitch="597" w:charSpace="-1259"/>
        </w:sectPr>
      </w:pPr>
    </w:p>
    <w:p w14:paraId="0631A6A5">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39D2AB88">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620B64F5">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6A2D0210">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5BB511B4">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4C7503D3">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4020A2E6">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bookmarkStart w:id="1" w:name="_GoBack"/>
    </w:p>
    <w:p w14:paraId="3F1624F3">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4F945E7C">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09F99D95">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481F0B22">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69FB056B">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5E0BD38E">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06BFC7D4">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0661D04F">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71811454">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7FF5CC1A">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13A40FBD">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17FC76BE">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4B640986">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5AEDA57F">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57CE43DA">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1F0DEACC">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73F55D76">
      <w:pPr>
        <w:tabs>
          <w:tab w:val="left" w:pos="1701"/>
          <w:tab w:val="left" w:pos="1985"/>
        </w:tabs>
        <w:adjustRightInd w:val="0"/>
        <w:snapToGrid w:val="0"/>
        <w:ind w:firstLine="628" w:firstLineChars="200"/>
        <w:jc w:val="right"/>
        <w:rPr>
          <w:rFonts w:ascii="仿宋" w:hAnsi="仿宋" w:eastAsia="宋体"/>
          <w:color w:val="000000" w:themeColor="text1"/>
          <w14:textFill>
            <w14:solidFill>
              <w14:schemeClr w14:val="tx1"/>
            </w14:solidFill>
          </w14:textFill>
        </w:rPr>
      </w:pPr>
    </w:p>
    <w:p w14:paraId="270F7167">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14:paraId="167E47E0">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14:paraId="05980C7C">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14:paraId="352395B0">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14:paraId="313253F6">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14:paraId="72CBC1BB">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14:paraId="0DD41A13">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14:paraId="22EAFA20">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bookmarkEnd w:id="1"/>
    <w:p w14:paraId="1CF8F730">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14:paraId="162FAD54">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14:paraId="3E192E88">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14:paraId="671AE807">
      <w:pPr>
        <w:tabs>
          <w:tab w:val="left" w:pos="1701"/>
          <w:tab w:val="left" w:pos="1985"/>
        </w:tabs>
        <w:adjustRightInd w:val="0"/>
        <w:snapToGrid w:val="0"/>
        <w:spacing w:line="160" w:lineRule="exact"/>
        <w:ind w:firstLine="628" w:firstLineChars="200"/>
        <w:jc w:val="right"/>
        <w:rPr>
          <w:rFonts w:ascii="仿宋" w:hAnsi="仿宋" w:eastAsia="宋体"/>
          <w:color w:val="000000" w:themeColor="text1"/>
          <w14:textFill>
            <w14:solidFill>
              <w14:schemeClr w14:val="tx1"/>
            </w14:solidFill>
          </w14:textFill>
        </w:rPr>
      </w:pPr>
    </w:p>
    <w:p w14:paraId="0E443F78">
      <w:pPr>
        <w:pStyle w:val="9"/>
        <w:adjustRightInd w:val="0"/>
        <w:snapToGrid w:val="0"/>
        <w:spacing w:after="59" w:afterLines="10" w:line="500" w:lineRule="exact"/>
        <w:ind w:left="408" w:leftChars="130" w:right="314" w:rightChars="100"/>
        <w:rPr>
          <w:rFonts w:ascii="仿宋_GB2312" w:hAnsi="Times New Roman"/>
          <w:color w:val="000000" w:themeColor="text1"/>
          <w:sz w:val="28"/>
          <w:szCs w:val="28"/>
          <w14:textFill>
            <w14:solidFill>
              <w14:schemeClr w14:val="tx1"/>
            </w14:solidFill>
          </w14:textFill>
        </w:rPr>
      </w:pPr>
      <w:r>
        <w:rPr>
          <w:rFonts w:hint="eastAsia" w:ascii="仿宋_GB2312" w:hAnsi="Times New Roman"/>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9525</wp:posOffset>
                </wp:positionV>
                <wp:extent cx="5615940" cy="0"/>
                <wp:effectExtent l="0" t="4445" r="0" b="5080"/>
                <wp:wrapSquare wrapText="bothSides"/>
                <wp:docPr id="3" name="直接连接符 1"/>
                <wp:cNvGraphicFramePr/>
                <a:graphic xmlns:a="http://schemas.openxmlformats.org/drawingml/2006/main">
                  <a:graphicData uri="http://schemas.microsoft.com/office/word/2010/wordprocessingShape">
                    <wps:wsp>
                      <wps:cNvCnPr/>
                      <wps:spPr>
                        <a:xfrm>
                          <a:off x="0" y="0"/>
                          <a:ext cx="5619750"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1" o:spid="_x0000_s1026" o:spt="20" style="position:absolute;left:0pt;margin-left:-1.4pt;margin-top:0.75pt;height:0pt;width:442.2pt;mso-wrap-distance-bottom:0pt;mso-wrap-distance-left:9pt;mso-wrap-distance-right:9pt;mso-wrap-distance-top:0pt;z-index:251661312;mso-width-relative:page;mso-height-relative:page;" filled="f" stroked="t" coordsize="21600,21600" o:gfxdata="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savtNMAAAAGAQAADwAAAAAAAAABACAAAAAiAAAAZHJzL2Rvd25yZXYueG1sUEsBAhQA&#10;FAAAAAgAh07iQPryi6b3AQAA8AMAAA4AAAAAAAAAAQAgAAAAIgEAAGRycy9lMm9Eb2MueG1sUEsF&#10;BgAAAAAGAAYAWQEAAIsFAAAAAA==&#10;">
                <v:fill on="f" focussize="0,0"/>
                <v:stroke color="#000000" joinstyle="round"/>
                <v:imagedata o:title=""/>
                <o:lock v:ext="edit" aspectratio="f"/>
                <w10:wrap type="square"/>
              </v:line>
            </w:pict>
          </mc:Fallback>
        </mc:AlternateContent>
      </w:r>
      <w:r>
        <w:rPr>
          <w:rFonts w:hint="eastAsia" w:ascii="仿宋_GB2312" w:hAnsi="Times New Roman"/>
          <w:color w:val="000000" w:themeColor="text1"/>
          <w:sz w:val="28"/>
          <w:szCs w:val="28"/>
          <w14:textFill>
            <w14:solidFill>
              <w14:schemeClr w14:val="tx1"/>
            </w14:solidFill>
          </w14:textFill>
        </w:rPr>
        <w:t>抄送：市卫生健康委，市市场监管局。</w:t>
      </w:r>
    </w:p>
    <w:tbl>
      <w:tblPr>
        <w:tblStyle w:val="17"/>
        <w:tblW w:w="8844"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14:paraId="1B6FA0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20" w:type="dxa"/>
            <w:vAlign w:val="center"/>
          </w:tcPr>
          <w:p w14:paraId="6B4399C9">
            <w:pPr>
              <w:pStyle w:val="9"/>
              <w:adjustRightInd w:val="0"/>
              <w:snapToGrid w:val="0"/>
              <w:spacing w:after="59" w:afterLines="10" w:line="500" w:lineRule="exact"/>
              <w:ind w:left="157" w:leftChars="50" w:right="157" w:rightChars="50"/>
              <w:jc w:val="center"/>
              <w:rPr>
                <w:rFonts w:ascii="仿宋_GB2312" w:hAnsi="Times New Roman"/>
                <w:color w:val="000000" w:themeColor="text1"/>
                <w:sz w:val="28"/>
                <w:szCs w:val="28"/>
                <w14:textFill>
                  <w14:solidFill>
                    <w14:schemeClr w14:val="tx1"/>
                  </w14:solidFill>
                </w14:textFill>
              </w:rPr>
            </w:pPr>
            <w:r>
              <w:rPr>
                <w:rFonts w:hint="eastAsia" w:ascii="仿宋_GB2312" w:hAnsi="Times New Roman"/>
                <w:color w:val="000000" w:themeColor="text1"/>
                <w:sz w:val="28"/>
                <w:szCs w:val="28"/>
                <w14:textFill>
                  <w14:solidFill>
                    <w14:schemeClr w14:val="tx1"/>
                  </w14:solidFill>
                </w14:textFill>
              </w:rPr>
              <w:t xml:space="preserve">济南市医疗保障局办公室                 </w:t>
            </w:r>
            <w:r>
              <w:rPr>
                <w:rFonts w:ascii="仿宋_GB2312" w:hAnsi="Times New Roman"/>
                <w:color w:val="000000" w:themeColor="text1"/>
                <w:sz w:val="28"/>
                <w:szCs w:val="28"/>
                <w14:textFill>
                  <w14:solidFill>
                    <w14:schemeClr w14:val="tx1"/>
                  </w14:solidFill>
                </w14:textFill>
              </w:rPr>
              <w:t>20</w:t>
            </w:r>
            <w:r>
              <w:rPr>
                <w:rFonts w:hint="eastAsia" w:ascii="仿宋_GB2312" w:hAnsi="Times New Roman"/>
                <w:color w:val="000000" w:themeColor="text1"/>
                <w:sz w:val="28"/>
                <w:szCs w:val="28"/>
                <w14:textFill>
                  <w14:solidFill>
                    <w14:schemeClr w14:val="tx1"/>
                  </w14:solidFill>
                </w14:textFill>
              </w:rPr>
              <w:t>25</w:t>
            </w:r>
            <w:r>
              <w:rPr>
                <w:rFonts w:ascii="仿宋_GB2312" w:hAnsi="Times New Roman"/>
                <w:color w:val="000000" w:themeColor="text1"/>
                <w:sz w:val="28"/>
                <w:szCs w:val="28"/>
                <w14:textFill>
                  <w14:solidFill>
                    <w14:schemeClr w14:val="tx1"/>
                  </w14:solidFill>
                </w14:textFill>
              </w:rPr>
              <w:t>年10月9日</w:t>
            </w:r>
            <w:r>
              <w:rPr>
                <w:rFonts w:hint="eastAsia" w:ascii="仿宋_GB2312" w:hAnsi="Times New Roman"/>
                <w:color w:val="000000" w:themeColor="text1"/>
                <w:sz w:val="28"/>
                <w:szCs w:val="28"/>
                <w14:textFill>
                  <w14:solidFill>
                    <w14:schemeClr w14:val="tx1"/>
                  </w14:solidFill>
                </w14:textFill>
              </w:rPr>
              <w:t>印发</w:t>
            </w:r>
          </w:p>
        </w:tc>
      </w:tr>
    </w:tbl>
    <w:p w14:paraId="247C21D2">
      <w:pPr>
        <w:tabs>
          <w:tab w:val="left" w:pos="1701"/>
          <w:tab w:val="left" w:pos="1985"/>
        </w:tabs>
        <w:spacing w:line="20" w:lineRule="exact"/>
        <w:ind w:firstLine="628" w:firstLineChars="200"/>
        <w:jc w:val="right"/>
        <w:rPr>
          <w:rFonts w:ascii="仿宋" w:hAnsi="仿宋" w:eastAsia="宋体"/>
          <w:color w:val="000000" w:themeColor="text1"/>
          <w14:textFill>
            <w14:solidFill>
              <w14:schemeClr w14:val="tx1"/>
            </w14:solidFill>
          </w14:textFill>
        </w:rPr>
      </w:pPr>
    </w:p>
    <w:p w14:paraId="492A4AB5">
      <w:pPr>
        <w:tabs>
          <w:tab w:val="left" w:pos="1701"/>
          <w:tab w:val="left" w:pos="1985"/>
        </w:tabs>
        <w:spacing w:line="20" w:lineRule="exact"/>
        <w:ind w:firstLine="628" w:firstLineChars="200"/>
        <w:jc w:val="right"/>
        <w:rPr>
          <w:color w:val="000000" w:themeColor="text1"/>
          <w14:textFill>
            <w14:solidFill>
              <w14:schemeClr w14:val="tx1"/>
            </w14:solidFill>
          </w14:textFill>
        </w:rPr>
      </w:pPr>
    </w:p>
    <w:sectPr>
      <w:headerReference r:id="rId11" w:type="default"/>
      <w:footerReference r:id="rId13" w:type="default"/>
      <w:headerReference r:id="rId12" w:type="even"/>
      <w:footerReference r:id="rId14" w:type="even"/>
      <w:pgSz w:w="11906" w:h="16838"/>
      <w:pgMar w:top="1984" w:right="1474" w:bottom="1701" w:left="1644" w:header="851" w:footer="992" w:gutter="0"/>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900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IDFont + F4">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ˎ̥">
    <w:altName w:val="宋体"/>
    <w:panose1 w:val="00000000000000000000"/>
    <w:charset w:val="00"/>
    <w:family w:val="roman"/>
    <w:pitch w:val="default"/>
    <w:sig w:usb0="00000000" w:usb1="00000000" w:usb2="00000000" w:usb3="00000000" w:csb0="00040001" w:csb1="00000000"/>
  </w:font>
  <w:font w:name="创艺简标宋">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方正宋三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56E2A">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posOffset>4572635</wp:posOffset>
              </wp:positionH>
              <wp:positionV relativeFrom="paragraph">
                <wp:posOffset>-233680</wp:posOffset>
              </wp:positionV>
              <wp:extent cx="1007745" cy="28829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a:noFill/>
                      </a:ln>
                    </wps:spPr>
                    <wps:txbx>
                      <w:txbxContent>
                        <w:p w14:paraId="6F8E8F7E">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wps:wsp>
                </a:graphicData>
              </a:graphic>
            </wp:anchor>
          </w:drawing>
        </mc:Choice>
        <mc:Fallback>
          <w:pict>
            <v:shape id="文本框 1" o:spid="_x0000_s1026" o:spt="202" type="#_x0000_t202" style="position:absolute;left:0pt;margin-left:360.05pt;margin-top:-18.4pt;height:22.7pt;width:79.35pt;mso-position-horizontal-relative:margin;z-index:251659264;mso-width-relative:page;mso-height-relative:page;" filled="f" stroked="f" coordsize="21600,21600" o:gfxdata="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iOkONgAAAAJAQAADwAAAAAAAAABACAA&#10;AAAiAAAAZHJzL2Rvd25yZXYueG1sUEsBAhQAFAAAAAgAh07iQMcQRSzUAQAAmQMAAA4AAAAAAAAA&#10;AQAgAAAAJwEAAGRycy9lMm9Eb2MueG1sUEsFBgAAAAAGAAYAWQEAAG0FAAAAAA==&#10;">
              <v:fill on="f" focussize="0,0"/>
              <v:stroke on="f"/>
              <v:imagedata o:title=""/>
              <o:lock v:ext="edit" aspectratio="f"/>
              <v:textbox inset="0mm,0mm,0mm,0mm">
                <w:txbxContent>
                  <w:p w14:paraId="6F8E8F7E">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A904F">
    <w:pPr>
      <w:pStyle w:val="13"/>
      <w:ind w:right="360" w:firstLine="360"/>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-264160</wp:posOffset>
              </wp:positionV>
              <wp:extent cx="1007745" cy="28829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a:noFill/>
                      </a:ln>
                    </wps:spPr>
                    <wps:txbx>
                      <w:txbxContent>
                        <w:p w14:paraId="385250B5">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wps:wsp>
                </a:graphicData>
              </a:graphic>
            </wp:anchor>
          </w:drawing>
        </mc:Choice>
        <mc:Fallback>
          <w:pict>
            <v:shape id="文本框 2" o:spid="_x0000_s1026" o:spt="202" type="#_x0000_t202" style="position:absolute;left:0pt;margin-left:0pt;margin-top:-20.8pt;height:22.7pt;width:79.35pt;mso-position-horizontal-relative:margin;z-index:251660288;mso-width-relative:page;mso-height-relative:page;" filled="f" stroked="f" coordsize="21600,21600" o:gfxdata="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wxNa9YAAAAGAQAADwAAAAAAAAABACAAAAAi&#10;AAAAZHJzL2Rvd25yZXYueG1sUEsBAhQAFAAAAAgAh07iQDX8VC3TAQAAmQMAAA4AAAAAAAAAAQAg&#10;AAAAJQEAAGRycy9lMm9Eb2MueG1sUEsFBgAAAAAGAAYAWQEAAGoFAAAAAA==&#10;">
              <v:fill on="f" focussize="0,0"/>
              <v:stroke on="f"/>
              <v:imagedata o:title=""/>
              <o:lock v:ext="edit" aspectratio="f"/>
              <v:textbox inset="0mm,0mm,0mm,0mm">
                <w:txbxContent>
                  <w:p w14:paraId="385250B5">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2F7E">
    <w:pPr>
      <w:pStyle w:val="13"/>
      <w:ind w:right="360" w:firstLine="360"/>
    </w:pPr>
    <w:r>
      <mc:AlternateContent>
        <mc:Choice Requires="wps">
          <w:drawing>
            <wp:anchor distT="0" distB="0" distL="114300" distR="114300" simplePos="0" relativeHeight="251661312" behindDoc="0" locked="0" layoutInCell="1" allowOverlap="1">
              <wp:simplePos x="0" y="0"/>
              <wp:positionH relativeFrom="margin">
                <wp:posOffset>-553720</wp:posOffset>
              </wp:positionH>
              <wp:positionV relativeFrom="paragraph">
                <wp:posOffset>-1095375</wp:posOffset>
              </wp:positionV>
              <wp:extent cx="322580" cy="926465"/>
              <wp:effectExtent l="0" t="0" r="0" b="0"/>
              <wp:wrapNone/>
              <wp:docPr id="6" name="文本框 3"/>
              <wp:cNvGraphicFramePr/>
              <a:graphic xmlns:a="http://schemas.openxmlformats.org/drawingml/2006/main">
                <a:graphicData uri="http://schemas.microsoft.com/office/word/2010/wordprocessingShape">
                  <wps:wsp>
                    <wps:cNvSpPr txBox="1"/>
                    <wps:spPr>
                      <a:xfrm>
                        <a:off x="0" y="0"/>
                        <a:ext cx="322580" cy="926465"/>
                      </a:xfrm>
                      <a:prstGeom prst="rect">
                        <a:avLst/>
                      </a:prstGeom>
                      <a:noFill/>
                      <a:ln>
                        <a:noFill/>
                      </a:ln>
                    </wps:spPr>
                    <wps:txbx>
                      <w:txbxContent>
                        <w:p w14:paraId="130E17E3">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3</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eaVert" wrap="square" lIns="0" tIns="0" rIns="0" bIns="0" anchor="t" anchorCtr="0"/>
                  </wps:wsp>
                </a:graphicData>
              </a:graphic>
            </wp:anchor>
          </w:drawing>
        </mc:Choice>
        <mc:Fallback>
          <w:pict>
            <v:shape id="文本框 3" o:spid="_x0000_s1026" o:spt="202" type="#_x0000_t202" style="position:absolute;left:0pt;margin-left:-43.6pt;margin-top:-86.25pt;height:72.95pt;width:25.4pt;mso-position-horizontal-relative:margin;z-index:251661312;mso-width-relative:page;mso-height-relative:page;" filled="f" stroked="f" coordsize="21600,21600" o:gfxdata="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Qa42K2QAAAAwBAAAPAAAAAAAAAAEAIAAA&#10;ACIAAABkcnMvZG93bnJldi54bWxQSwECFAAUAAAACACHTuJAVj5GuNIBAACaAwAADgAAAAAAAAAB&#10;ACAAAAAoAQAAZHJzL2Uyb0RvYy54bWxQSwUGAAAAAAYABgBZAQAAbAUAAAAA&#10;">
              <v:fill on="f" focussize="0,0"/>
              <v:stroke on="f"/>
              <v:imagedata o:title=""/>
              <o:lock v:ext="edit" aspectratio="f"/>
              <v:textbox inset="0mm,0mm,0mm,0mm" style="layout-flow:vertical-ideographic;">
                <w:txbxContent>
                  <w:p w14:paraId="130E17E3">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3</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CB423">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FD20">
    <w:pPr>
      <w:pStyle w:val="13"/>
      <w:ind w:right="360"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322580" cy="926465"/>
              <wp:effectExtent l="0" t="0" r="0" b="0"/>
              <wp:wrapNone/>
              <wp:docPr id="8" name="文本框 6"/>
              <wp:cNvGraphicFramePr/>
              <a:graphic xmlns:a="http://schemas.openxmlformats.org/drawingml/2006/main">
                <a:graphicData uri="http://schemas.microsoft.com/office/word/2010/wordprocessingShape">
                  <wps:wsp>
                    <wps:cNvSpPr txBox="1"/>
                    <wps:spPr>
                      <a:xfrm>
                        <a:off x="0" y="0"/>
                        <a:ext cx="322580" cy="926465"/>
                      </a:xfrm>
                      <a:prstGeom prst="rect">
                        <a:avLst/>
                      </a:prstGeom>
                      <a:noFill/>
                      <a:ln>
                        <a:noFill/>
                      </a:ln>
                    </wps:spPr>
                    <wps:txbx>
                      <w:txbxContent>
                        <w:p w14:paraId="32B8EEAE">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wps:wsp>
                </a:graphicData>
              </a:graphic>
            </wp:anchor>
          </w:drawing>
        </mc:Choice>
        <mc:Fallback>
          <w:pict>
            <v:shape id="文本框 6" o:spid="_x0000_s1026" o:spt="202" type="#_x0000_t202" style="position:absolute;left:0pt;margin-top:0pt;height:72.95pt;width:25.4pt;mso-position-horizontal:outside;mso-position-horizontal-relative:margin;z-index:251663360;mso-width-relative:page;mso-height-relative:page;" filled="f" stroked="f" coordsize="21600,21600" o:gfxdata="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HpYrdQAAAAEAQAADwAAAAAAAAABACAAAAAiAAAA&#10;ZHJzL2Rvd25yZXYueG1sUEsBAhQAFAAAAAgAh07iQCLnpNfSAQAAmAMAAA4AAAAAAAAAAQAgAAAA&#10;IwEAAGRycy9lMm9Eb2MueG1sUEsFBgAAAAAGAAYAWQEAAGcFAAAAAA==&#10;">
              <v:fill on="f" focussize="0,0"/>
              <v:stroke on="f"/>
              <v:imagedata o:title=""/>
              <o:lock v:ext="edit" aspectratio="f"/>
              <v:textbox inset="0mm,0mm,0mm,0mm">
                <w:txbxContent>
                  <w:p w14:paraId="32B8EEAE">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1</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7D32">
    <w:pPr>
      <w:pStyle w:val="13"/>
      <w:ind w:right="360" w:firstLine="360"/>
    </w:pPr>
    <w: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-266700</wp:posOffset>
              </wp:positionV>
              <wp:extent cx="1007745" cy="28829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a:noFill/>
                      </a:ln>
                    </wps:spPr>
                    <wps:txbx>
                      <w:txbxContent>
                        <w:p w14:paraId="2ABFED1D">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square" lIns="0" tIns="0" rIns="0" bIns="0" anchor="t" anchorCtr="0"/>
                  </wps:wsp>
                </a:graphicData>
              </a:graphic>
            </wp:anchor>
          </w:drawing>
        </mc:Choice>
        <mc:Fallback>
          <w:pict>
            <v:shape id="文本框 7" o:spid="_x0000_s1026" o:spt="202" type="#_x0000_t202" style="position:absolute;left:0pt;margin-left:0pt;margin-top:-21pt;height:22.7pt;width:79.35pt;mso-position-horizontal-relative:margin;z-index:251664384;mso-width-relative:page;mso-height-relative:page;" filled="f" stroked="f" coordsize="21600,21600" o:gfxdata="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EdsyPWAAAABgEAAA8AAAAAAAAAAQAgAAAA&#10;IgAAAGRycy9kb3ducmV2LnhtbFBLAQIUABQAAAAIAIdO4kA9O4pU1AEAAJkDAAAOAAAAAAAAAAEA&#10;IAAAACUBAABkcnMvZTJvRG9jLnhtbFBLBQYAAAAABgAGAFkBAABrBQAAAAA=&#10;">
              <v:fill on="f" focussize="0,0"/>
              <v:stroke on="f"/>
              <v:imagedata o:title=""/>
              <o:lock v:ext="edit" aspectratio="f"/>
              <v:textbox inset="0mm,0mm,0mm,0mm">
                <w:txbxContent>
                  <w:p w14:paraId="2ABFED1D">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6</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443CA">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6598">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9CA26">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B47CA">
    <w:pPr>
      <w:pStyle w:val="14"/>
      <w:pBdr>
        <w:bottom w:val="none" w:color="auto" w:sz="0" w:space="0"/>
      </w:pBdr>
    </w:pPr>
    <w:r>
      <mc:AlternateContent>
        <mc:Choice Requires="wps">
          <w:drawing>
            <wp:anchor distT="0" distB="0" distL="114300" distR="114300" simplePos="0" relativeHeight="251662336" behindDoc="0" locked="0" layoutInCell="1" allowOverlap="1">
              <wp:simplePos x="0" y="0"/>
              <wp:positionH relativeFrom="margin">
                <wp:posOffset>-495935</wp:posOffset>
              </wp:positionH>
              <wp:positionV relativeFrom="paragraph">
                <wp:posOffset>562610</wp:posOffset>
              </wp:positionV>
              <wp:extent cx="322580" cy="812165"/>
              <wp:effectExtent l="0" t="0" r="0" b="0"/>
              <wp:wrapNone/>
              <wp:docPr id="7" name="文本框 4"/>
              <wp:cNvGraphicFramePr/>
              <a:graphic xmlns:a="http://schemas.openxmlformats.org/drawingml/2006/main">
                <a:graphicData uri="http://schemas.microsoft.com/office/word/2010/wordprocessingShape">
                  <wps:wsp>
                    <wps:cNvSpPr txBox="1"/>
                    <wps:spPr>
                      <a:xfrm>
                        <a:off x="0" y="0"/>
                        <a:ext cx="322580" cy="812165"/>
                      </a:xfrm>
                      <a:prstGeom prst="rect">
                        <a:avLst/>
                      </a:prstGeom>
                      <a:noFill/>
                      <a:ln>
                        <a:noFill/>
                      </a:ln>
                    </wps:spPr>
                    <wps:txbx>
                      <w:txbxContent>
                        <w:p w14:paraId="73B432CF">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eaVert" wrap="square" lIns="0" tIns="0" rIns="0" bIns="0" anchor="t" anchorCtr="0"/>
                  </wps:wsp>
                </a:graphicData>
              </a:graphic>
            </wp:anchor>
          </w:drawing>
        </mc:Choice>
        <mc:Fallback>
          <w:pict>
            <v:shape id="文本框 4" o:spid="_x0000_s1026" o:spt="202" type="#_x0000_t202" style="position:absolute;left:0pt;margin-left:-39.05pt;margin-top:44.3pt;height:63.95pt;width:25.4pt;mso-position-horizontal-relative:margin;z-index:251662336;mso-width-relative:page;mso-height-relative:page;" filled="f" stroked="f" coordsize="21600,21600" o:gfxdata="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nc1Kx2AAAAAoBAAAPAAAAAAAAAAEAIAAA&#10;ACIAAABkcnMvZG93bnJldi54bWxQSwECFAAUAAAACACHTuJAE96x99MBAACaAwAADgAAAAAAAAAB&#10;ACAAAAAnAQAAZHJzL2Uyb0RvYy54bWxQSwUGAAAAAAYABgBZAQAAbAUAAAAA&#10;">
              <v:fill on="f" focussize="0,0"/>
              <v:stroke on="f"/>
              <v:imagedata o:title=""/>
              <o:lock v:ext="edit" aspectratio="f"/>
              <v:textbox inset="0mm,0mm,0mm,0mm" style="layout-flow:vertical-ideographic;">
                <w:txbxContent>
                  <w:p w14:paraId="73B432CF">
                    <w:pPr>
                      <w:pStyle w:val="13"/>
                      <w:jc w:val="center"/>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882B">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C5FC">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D391E"/>
    <w:multiLevelType w:val="singleLevel"/>
    <w:tmpl w:val="DD1D391E"/>
    <w:lvl w:ilvl="0" w:tentative="0">
      <w:start w:val="1"/>
      <w:numFmt w:val="chineseCounting"/>
      <w:suff w:val="nothing"/>
      <w:lvlText w:val="%1、"/>
      <w:lvlJc w:val="left"/>
      <w:rPr>
        <w:rFonts w:hint="eastAsia"/>
      </w:rPr>
    </w:lvl>
  </w:abstractNum>
  <w:abstractNum w:abstractNumId="1">
    <w:nsid w:val="FFFFFF88"/>
    <w:multiLevelType w:val="singleLevel"/>
    <w:tmpl w:val="FFFFFF88"/>
    <w:lvl w:ilvl="0" w:tentative="0">
      <w:start w:val="1"/>
      <w:numFmt w:val="decimal"/>
      <w:pStyle w:val="5"/>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7"/>
  <w:drawingGridVerticalSpacing w:val="5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WVlMzE4YTUwYzVmZGNlYmYzYjhkODA5ZThlOTkifQ=="/>
  </w:docVars>
  <w:rsids>
    <w:rsidRoot w:val="0037056A"/>
    <w:rsid w:val="00003FC8"/>
    <w:rsid w:val="00005935"/>
    <w:rsid w:val="00010E35"/>
    <w:rsid w:val="00012D02"/>
    <w:rsid w:val="00016EFA"/>
    <w:rsid w:val="00017D30"/>
    <w:rsid w:val="0002051A"/>
    <w:rsid w:val="00021E29"/>
    <w:rsid w:val="00022294"/>
    <w:rsid w:val="00022F5E"/>
    <w:rsid w:val="00024EA8"/>
    <w:rsid w:val="00026013"/>
    <w:rsid w:val="00031D7F"/>
    <w:rsid w:val="00033B4A"/>
    <w:rsid w:val="000346B1"/>
    <w:rsid w:val="00036CBD"/>
    <w:rsid w:val="00045ADA"/>
    <w:rsid w:val="00046709"/>
    <w:rsid w:val="00051D34"/>
    <w:rsid w:val="00052BF9"/>
    <w:rsid w:val="0005366C"/>
    <w:rsid w:val="000604D9"/>
    <w:rsid w:val="00060C5D"/>
    <w:rsid w:val="00063CE9"/>
    <w:rsid w:val="00064237"/>
    <w:rsid w:val="0006507B"/>
    <w:rsid w:val="00067281"/>
    <w:rsid w:val="0007267E"/>
    <w:rsid w:val="00073271"/>
    <w:rsid w:val="00075E17"/>
    <w:rsid w:val="000760DE"/>
    <w:rsid w:val="000807F0"/>
    <w:rsid w:val="0008110B"/>
    <w:rsid w:val="0008143C"/>
    <w:rsid w:val="000814C9"/>
    <w:rsid w:val="0009016E"/>
    <w:rsid w:val="00090BCC"/>
    <w:rsid w:val="00093537"/>
    <w:rsid w:val="00095639"/>
    <w:rsid w:val="000A0237"/>
    <w:rsid w:val="000A1365"/>
    <w:rsid w:val="000A3EC6"/>
    <w:rsid w:val="000A56DB"/>
    <w:rsid w:val="000A6876"/>
    <w:rsid w:val="000B0107"/>
    <w:rsid w:val="000B0DE7"/>
    <w:rsid w:val="000B506D"/>
    <w:rsid w:val="000C29E1"/>
    <w:rsid w:val="000C3860"/>
    <w:rsid w:val="000C3920"/>
    <w:rsid w:val="000C4597"/>
    <w:rsid w:val="000C487E"/>
    <w:rsid w:val="000C5ACA"/>
    <w:rsid w:val="000C62A4"/>
    <w:rsid w:val="000C6A8F"/>
    <w:rsid w:val="000D15C0"/>
    <w:rsid w:val="000D1CF8"/>
    <w:rsid w:val="000D5132"/>
    <w:rsid w:val="000E2CD9"/>
    <w:rsid w:val="000E4D8A"/>
    <w:rsid w:val="000F017D"/>
    <w:rsid w:val="000F33CF"/>
    <w:rsid w:val="000F5702"/>
    <w:rsid w:val="000F67DF"/>
    <w:rsid w:val="000F7363"/>
    <w:rsid w:val="000F7799"/>
    <w:rsid w:val="00105564"/>
    <w:rsid w:val="00121BDC"/>
    <w:rsid w:val="0012282D"/>
    <w:rsid w:val="001231BA"/>
    <w:rsid w:val="0012327D"/>
    <w:rsid w:val="00127EFD"/>
    <w:rsid w:val="00130727"/>
    <w:rsid w:val="0013107D"/>
    <w:rsid w:val="00131B78"/>
    <w:rsid w:val="00134063"/>
    <w:rsid w:val="00137ADE"/>
    <w:rsid w:val="00137FE7"/>
    <w:rsid w:val="00141593"/>
    <w:rsid w:val="00141889"/>
    <w:rsid w:val="001455B4"/>
    <w:rsid w:val="00151952"/>
    <w:rsid w:val="00151BB6"/>
    <w:rsid w:val="0015425D"/>
    <w:rsid w:val="001544BE"/>
    <w:rsid w:val="00155569"/>
    <w:rsid w:val="00156DD2"/>
    <w:rsid w:val="0016305B"/>
    <w:rsid w:val="00167D87"/>
    <w:rsid w:val="00171639"/>
    <w:rsid w:val="001722F9"/>
    <w:rsid w:val="00172A02"/>
    <w:rsid w:val="00173022"/>
    <w:rsid w:val="00174712"/>
    <w:rsid w:val="00174851"/>
    <w:rsid w:val="0017639B"/>
    <w:rsid w:val="00180902"/>
    <w:rsid w:val="00184E32"/>
    <w:rsid w:val="0018644F"/>
    <w:rsid w:val="00186CCB"/>
    <w:rsid w:val="001875C0"/>
    <w:rsid w:val="00187EED"/>
    <w:rsid w:val="00191FCB"/>
    <w:rsid w:val="001927F3"/>
    <w:rsid w:val="001A5C3A"/>
    <w:rsid w:val="001B172B"/>
    <w:rsid w:val="001B5EED"/>
    <w:rsid w:val="001C28AE"/>
    <w:rsid w:val="001C52CC"/>
    <w:rsid w:val="001C5946"/>
    <w:rsid w:val="001C607C"/>
    <w:rsid w:val="001D069F"/>
    <w:rsid w:val="001D2C25"/>
    <w:rsid w:val="001D4364"/>
    <w:rsid w:val="001E0156"/>
    <w:rsid w:val="001E3A96"/>
    <w:rsid w:val="001E67E7"/>
    <w:rsid w:val="001F48F4"/>
    <w:rsid w:val="001F4CE9"/>
    <w:rsid w:val="001F7AAE"/>
    <w:rsid w:val="0020054A"/>
    <w:rsid w:val="002027C8"/>
    <w:rsid w:val="0020405E"/>
    <w:rsid w:val="00205EC2"/>
    <w:rsid w:val="00213DE7"/>
    <w:rsid w:val="00215394"/>
    <w:rsid w:val="00225A9C"/>
    <w:rsid w:val="002273D5"/>
    <w:rsid w:val="00234D09"/>
    <w:rsid w:val="00235379"/>
    <w:rsid w:val="00241CF8"/>
    <w:rsid w:val="002430B0"/>
    <w:rsid w:val="00254FFA"/>
    <w:rsid w:val="00255938"/>
    <w:rsid w:val="002653C8"/>
    <w:rsid w:val="00275CC6"/>
    <w:rsid w:val="0029101F"/>
    <w:rsid w:val="00291CF6"/>
    <w:rsid w:val="00292FFF"/>
    <w:rsid w:val="00293BC3"/>
    <w:rsid w:val="00295ABD"/>
    <w:rsid w:val="00297912"/>
    <w:rsid w:val="002A6DEE"/>
    <w:rsid w:val="002A7746"/>
    <w:rsid w:val="002B23C8"/>
    <w:rsid w:val="002B2EF0"/>
    <w:rsid w:val="002C0360"/>
    <w:rsid w:val="002C0A8A"/>
    <w:rsid w:val="002C1BB7"/>
    <w:rsid w:val="002C5EE1"/>
    <w:rsid w:val="002C654A"/>
    <w:rsid w:val="002D45D7"/>
    <w:rsid w:val="002D799F"/>
    <w:rsid w:val="002D7E20"/>
    <w:rsid w:val="002E620B"/>
    <w:rsid w:val="002E783D"/>
    <w:rsid w:val="00303524"/>
    <w:rsid w:val="0031231B"/>
    <w:rsid w:val="0031377F"/>
    <w:rsid w:val="00313A94"/>
    <w:rsid w:val="00322EBF"/>
    <w:rsid w:val="00323E0B"/>
    <w:rsid w:val="00324AD0"/>
    <w:rsid w:val="00332271"/>
    <w:rsid w:val="0033390F"/>
    <w:rsid w:val="00333D32"/>
    <w:rsid w:val="00333FD6"/>
    <w:rsid w:val="00335E1B"/>
    <w:rsid w:val="00336E42"/>
    <w:rsid w:val="003375ED"/>
    <w:rsid w:val="00343E1B"/>
    <w:rsid w:val="00345427"/>
    <w:rsid w:val="00345CEE"/>
    <w:rsid w:val="00347FD1"/>
    <w:rsid w:val="0035068C"/>
    <w:rsid w:val="00351790"/>
    <w:rsid w:val="00351C0C"/>
    <w:rsid w:val="0036325C"/>
    <w:rsid w:val="00363DA0"/>
    <w:rsid w:val="00364539"/>
    <w:rsid w:val="0037056A"/>
    <w:rsid w:val="0037162F"/>
    <w:rsid w:val="00371A07"/>
    <w:rsid w:val="00373BF9"/>
    <w:rsid w:val="003756B8"/>
    <w:rsid w:val="00382618"/>
    <w:rsid w:val="0038429D"/>
    <w:rsid w:val="00391C89"/>
    <w:rsid w:val="00393846"/>
    <w:rsid w:val="00394E2C"/>
    <w:rsid w:val="00396912"/>
    <w:rsid w:val="003979F4"/>
    <w:rsid w:val="003A75E6"/>
    <w:rsid w:val="003B4A93"/>
    <w:rsid w:val="003C1175"/>
    <w:rsid w:val="003C11BE"/>
    <w:rsid w:val="003C345F"/>
    <w:rsid w:val="003C3584"/>
    <w:rsid w:val="003D08BA"/>
    <w:rsid w:val="003D1823"/>
    <w:rsid w:val="003D380B"/>
    <w:rsid w:val="003E14D5"/>
    <w:rsid w:val="003E1D24"/>
    <w:rsid w:val="003E3E52"/>
    <w:rsid w:val="003E74B1"/>
    <w:rsid w:val="003F00D7"/>
    <w:rsid w:val="003F1190"/>
    <w:rsid w:val="003F5937"/>
    <w:rsid w:val="00410336"/>
    <w:rsid w:val="004152F2"/>
    <w:rsid w:val="0041542A"/>
    <w:rsid w:val="00415E0C"/>
    <w:rsid w:val="004161DC"/>
    <w:rsid w:val="004207C7"/>
    <w:rsid w:val="00420C88"/>
    <w:rsid w:val="00423484"/>
    <w:rsid w:val="00426F1E"/>
    <w:rsid w:val="00427CB6"/>
    <w:rsid w:val="00440ED2"/>
    <w:rsid w:val="00445B76"/>
    <w:rsid w:val="004474E3"/>
    <w:rsid w:val="004528C8"/>
    <w:rsid w:val="0045511E"/>
    <w:rsid w:val="004558EB"/>
    <w:rsid w:val="00456C4A"/>
    <w:rsid w:val="004571D6"/>
    <w:rsid w:val="00465131"/>
    <w:rsid w:val="00466ADB"/>
    <w:rsid w:val="00471BC8"/>
    <w:rsid w:val="00471DFC"/>
    <w:rsid w:val="00474C24"/>
    <w:rsid w:val="004856E6"/>
    <w:rsid w:val="00490075"/>
    <w:rsid w:val="004912FD"/>
    <w:rsid w:val="00492008"/>
    <w:rsid w:val="004960A1"/>
    <w:rsid w:val="004A2397"/>
    <w:rsid w:val="004A3B0A"/>
    <w:rsid w:val="004A5ED0"/>
    <w:rsid w:val="004A67FD"/>
    <w:rsid w:val="004A69B1"/>
    <w:rsid w:val="004B279E"/>
    <w:rsid w:val="004B287A"/>
    <w:rsid w:val="004B3E9E"/>
    <w:rsid w:val="004B4CDB"/>
    <w:rsid w:val="004B6C6D"/>
    <w:rsid w:val="004C31A0"/>
    <w:rsid w:val="004C7809"/>
    <w:rsid w:val="004D097A"/>
    <w:rsid w:val="004D0990"/>
    <w:rsid w:val="004D0F36"/>
    <w:rsid w:val="004D1F1F"/>
    <w:rsid w:val="004D2097"/>
    <w:rsid w:val="004E1F57"/>
    <w:rsid w:val="004E3B1F"/>
    <w:rsid w:val="004E4CAD"/>
    <w:rsid w:val="004E5F11"/>
    <w:rsid w:val="004E640F"/>
    <w:rsid w:val="004F0D25"/>
    <w:rsid w:val="004F74F0"/>
    <w:rsid w:val="004F7DE2"/>
    <w:rsid w:val="00503141"/>
    <w:rsid w:val="005040B8"/>
    <w:rsid w:val="00504ACE"/>
    <w:rsid w:val="005074E7"/>
    <w:rsid w:val="005109DB"/>
    <w:rsid w:val="00512E55"/>
    <w:rsid w:val="0051723B"/>
    <w:rsid w:val="00521437"/>
    <w:rsid w:val="005251B8"/>
    <w:rsid w:val="005305D0"/>
    <w:rsid w:val="00530981"/>
    <w:rsid w:val="0054205F"/>
    <w:rsid w:val="00542294"/>
    <w:rsid w:val="00542390"/>
    <w:rsid w:val="0054705F"/>
    <w:rsid w:val="00556265"/>
    <w:rsid w:val="0055786D"/>
    <w:rsid w:val="00557D5E"/>
    <w:rsid w:val="00562528"/>
    <w:rsid w:val="00565599"/>
    <w:rsid w:val="0056575D"/>
    <w:rsid w:val="00566A78"/>
    <w:rsid w:val="00566D05"/>
    <w:rsid w:val="005706AF"/>
    <w:rsid w:val="00571D71"/>
    <w:rsid w:val="005745F3"/>
    <w:rsid w:val="00576208"/>
    <w:rsid w:val="0058139C"/>
    <w:rsid w:val="00586157"/>
    <w:rsid w:val="005933E4"/>
    <w:rsid w:val="00594443"/>
    <w:rsid w:val="0059612F"/>
    <w:rsid w:val="005A4E15"/>
    <w:rsid w:val="005A5470"/>
    <w:rsid w:val="005A6EA5"/>
    <w:rsid w:val="005B33D3"/>
    <w:rsid w:val="005B3B78"/>
    <w:rsid w:val="005B645F"/>
    <w:rsid w:val="005B6516"/>
    <w:rsid w:val="005B7EDA"/>
    <w:rsid w:val="005B7F36"/>
    <w:rsid w:val="005C3799"/>
    <w:rsid w:val="005C4419"/>
    <w:rsid w:val="005C45A9"/>
    <w:rsid w:val="005C4E75"/>
    <w:rsid w:val="005C5297"/>
    <w:rsid w:val="005C7383"/>
    <w:rsid w:val="005C78B9"/>
    <w:rsid w:val="005D4858"/>
    <w:rsid w:val="005D5DD0"/>
    <w:rsid w:val="005D7831"/>
    <w:rsid w:val="005E4092"/>
    <w:rsid w:val="005E77BA"/>
    <w:rsid w:val="005F53B4"/>
    <w:rsid w:val="005F59FE"/>
    <w:rsid w:val="00600BE1"/>
    <w:rsid w:val="00600E22"/>
    <w:rsid w:val="00600E57"/>
    <w:rsid w:val="00603223"/>
    <w:rsid w:val="00604243"/>
    <w:rsid w:val="00610094"/>
    <w:rsid w:val="006100C9"/>
    <w:rsid w:val="0061264C"/>
    <w:rsid w:val="006169BD"/>
    <w:rsid w:val="0062009C"/>
    <w:rsid w:val="00621632"/>
    <w:rsid w:val="006219E3"/>
    <w:rsid w:val="006230AD"/>
    <w:rsid w:val="00623B8C"/>
    <w:rsid w:val="00623D78"/>
    <w:rsid w:val="006259B4"/>
    <w:rsid w:val="006265B9"/>
    <w:rsid w:val="0062711A"/>
    <w:rsid w:val="00633D2E"/>
    <w:rsid w:val="0063726E"/>
    <w:rsid w:val="006403A1"/>
    <w:rsid w:val="00641253"/>
    <w:rsid w:val="00642AE8"/>
    <w:rsid w:val="00644E89"/>
    <w:rsid w:val="00645268"/>
    <w:rsid w:val="00650E66"/>
    <w:rsid w:val="0065184F"/>
    <w:rsid w:val="00651CDA"/>
    <w:rsid w:val="006524A7"/>
    <w:rsid w:val="0065328D"/>
    <w:rsid w:val="006541FE"/>
    <w:rsid w:val="00656D38"/>
    <w:rsid w:val="00656EBA"/>
    <w:rsid w:val="00662B81"/>
    <w:rsid w:val="006637AB"/>
    <w:rsid w:val="0067319A"/>
    <w:rsid w:val="00674ACA"/>
    <w:rsid w:val="0067566C"/>
    <w:rsid w:val="00676ADC"/>
    <w:rsid w:val="0068190A"/>
    <w:rsid w:val="00683F77"/>
    <w:rsid w:val="00684809"/>
    <w:rsid w:val="00692D61"/>
    <w:rsid w:val="0069383F"/>
    <w:rsid w:val="00695B97"/>
    <w:rsid w:val="00697D0B"/>
    <w:rsid w:val="006A551C"/>
    <w:rsid w:val="006B7784"/>
    <w:rsid w:val="006C17BF"/>
    <w:rsid w:val="006C2C45"/>
    <w:rsid w:val="006C3A37"/>
    <w:rsid w:val="006C7313"/>
    <w:rsid w:val="006D0725"/>
    <w:rsid w:val="006D71EA"/>
    <w:rsid w:val="006E2DAD"/>
    <w:rsid w:val="006E4485"/>
    <w:rsid w:val="006E59FD"/>
    <w:rsid w:val="006E6331"/>
    <w:rsid w:val="006F3F74"/>
    <w:rsid w:val="006F583E"/>
    <w:rsid w:val="006F7A7D"/>
    <w:rsid w:val="00701C26"/>
    <w:rsid w:val="007055E7"/>
    <w:rsid w:val="00705E91"/>
    <w:rsid w:val="00711646"/>
    <w:rsid w:val="0071480D"/>
    <w:rsid w:val="00715974"/>
    <w:rsid w:val="00716820"/>
    <w:rsid w:val="00717DEE"/>
    <w:rsid w:val="00717F9C"/>
    <w:rsid w:val="0072427F"/>
    <w:rsid w:val="00726555"/>
    <w:rsid w:val="007272EC"/>
    <w:rsid w:val="0073011D"/>
    <w:rsid w:val="0073183E"/>
    <w:rsid w:val="007321C7"/>
    <w:rsid w:val="00735475"/>
    <w:rsid w:val="007413EA"/>
    <w:rsid w:val="00741FE0"/>
    <w:rsid w:val="007428F4"/>
    <w:rsid w:val="007430DB"/>
    <w:rsid w:val="00744423"/>
    <w:rsid w:val="00745524"/>
    <w:rsid w:val="00747686"/>
    <w:rsid w:val="007574BD"/>
    <w:rsid w:val="00757A14"/>
    <w:rsid w:val="007608C1"/>
    <w:rsid w:val="00761CA7"/>
    <w:rsid w:val="00761CF0"/>
    <w:rsid w:val="00762855"/>
    <w:rsid w:val="00765752"/>
    <w:rsid w:val="0077255D"/>
    <w:rsid w:val="0077345C"/>
    <w:rsid w:val="00780823"/>
    <w:rsid w:val="0078170A"/>
    <w:rsid w:val="007968F5"/>
    <w:rsid w:val="007A2197"/>
    <w:rsid w:val="007A4F20"/>
    <w:rsid w:val="007A526C"/>
    <w:rsid w:val="007A61EE"/>
    <w:rsid w:val="007A7392"/>
    <w:rsid w:val="007B2440"/>
    <w:rsid w:val="007B7F75"/>
    <w:rsid w:val="007C042C"/>
    <w:rsid w:val="007C286E"/>
    <w:rsid w:val="007C522D"/>
    <w:rsid w:val="007C6671"/>
    <w:rsid w:val="007C721F"/>
    <w:rsid w:val="007C762F"/>
    <w:rsid w:val="007D1E6F"/>
    <w:rsid w:val="007D2F3C"/>
    <w:rsid w:val="007E5694"/>
    <w:rsid w:val="007E6408"/>
    <w:rsid w:val="00801FE8"/>
    <w:rsid w:val="00804841"/>
    <w:rsid w:val="00806BC5"/>
    <w:rsid w:val="008075A8"/>
    <w:rsid w:val="0081017F"/>
    <w:rsid w:val="00813ADB"/>
    <w:rsid w:val="00814A14"/>
    <w:rsid w:val="00815988"/>
    <w:rsid w:val="00815E11"/>
    <w:rsid w:val="00820429"/>
    <w:rsid w:val="008319F2"/>
    <w:rsid w:val="008333B5"/>
    <w:rsid w:val="00836AB8"/>
    <w:rsid w:val="008405D0"/>
    <w:rsid w:val="00840B20"/>
    <w:rsid w:val="00845815"/>
    <w:rsid w:val="00847DC6"/>
    <w:rsid w:val="00852060"/>
    <w:rsid w:val="008574D1"/>
    <w:rsid w:val="00857B12"/>
    <w:rsid w:val="008707AC"/>
    <w:rsid w:val="00871ABA"/>
    <w:rsid w:val="00874238"/>
    <w:rsid w:val="0087716A"/>
    <w:rsid w:val="008928E5"/>
    <w:rsid w:val="008A0200"/>
    <w:rsid w:val="008A0533"/>
    <w:rsid w:val="008A1D3C"/>
    <w:rsid w:val="008A25DE"/>
    <w:rsid w:val="008A4DD9"/>
    <w:rsid w:val="008B146C"/>
    <w:rsid w:val="008B325D"/>
    <w:rsid w:val="008B36B0"/>
    <w:rsid w:val="008B3D0B"/>
    <w:rsid w:val="008B5F59"/>
    <w:rsid w:val="008B7CA8"/>
    <w:rsid w:val="008C03F1"/>
    <w:rsid w:val="008C0563"/>
    <w:rsid w:val="008C087E"/>
    <w:rsid w:val="008C2C0C"/>
    <w:rsid w:val="008C3325"/>
    <w:rsid w:val="008C5BFA"/>
    <w:rsid w:val="008D311F"/>
    <w:rsid w:val="008D36DB"/>
    <w:rsid w:val="008D4F27"/>
    <w:rsid w:val="008D7AD0"/>
    <w:rsid w:val="008D7C89"/>
    <w:rsid w:val="008E16E8"/>
    <w:rsid w:val="008E191E"/>
    <w:rsid w:val="008E1B88"/>
    <w:rsid w:val="008E3B6C"/>
    <w:rsid w:val="008E49C9"/>
    <w:rsid w:val="008E6C8C"/>
    <w:rsid w:val="008E6FBF"/>
    <w:rsid w:val="008E7244"/>
    <w:rsid w:val="008F093B"/>
    <w:rsid w:val="008F29C2"/>
    <w:rsid w:val="008F2E99"/>
    <w:rsid w:val="008F5C5B"/>
    <w:rsid w:val="008F6C05"/>
    <w:rsid w:val="008F74CC"/>
    <w:rsid w:val="00900435"/>
    <w:rsid w:val="009021AF"/>
    <w:rsid w:val="00907F23"/>
    <w:rsid w:val="009109F3"/>
    <w:rsid w:val="0091478F"/>
    <w:rsid w:val="0091651E"/>
    <w:rsid w:val="009173FE"/>
    <w:rsid w:val="009174E1"/>
    <w:rsid w:val="00926920"/>
    <w:rsid w:val="00926C04"/>
    <w:rsid w:val="00930325"/>
    <w:rsid w:val="00943213"/>
    <w:rsid w:val="0094602C"/>
    <w:rsid w:val="00950E05"/>
    <w:rsid w:val="00951506"/>
    <w:rsid w:val="00952D22"/>
    <w:rsid w:val="0095449C"/>
    <w:rsid w:val="00954C74"/>
    <w:rsid w:val="0095639C"/>
    <w:rsid w:val="00962D70"/>
    <w:rsid w:val="009709D5"/>
    <w:rsid w:val="0097152E"/>
    <w:rsid w:val="00971A63"/>
    <w:rsid w:val="00977C0E"/>
    <w:rsid w:val="00985ADF"/>
    <w:rsid w:val="009863E1"/>
    <w:rsid w:val="00986D71"/>
    <w:rsid w:val="00990565"/>
    <w:rsid w:val="0099260B"/>
    <w:rsid w:val="00993621"/>
    <w:rsid w:val="00995046"/>
    <w:rsid w:val="009A1618"/>
    <w:rsid w:val="009B453E"/>
    <w:rsid w:val="009B52D0"/>
    <w:rsid w:val="009C49AC"/>
    <w:rsid w:val="009C5F64"/>
    <w:rsid w:val="009C655E"/>
    <w:rsid w:val="009D1F42"/>
    <w:rsid w:val="009D5327"/>
    <w:rsid w:val="009D569A"/>
    <w:rsid w:val="009D5709"/>
    <w:rsid w:val="009D5F63"/>
    <w:rsid w:val="009D6D3F"/>
    <w:rsid w:val="009D730C"/>
    <w:rsid w:val="009D7772"/>
    <w:rsid w:val="009E40EB"/>
    <w:rsid w:val="009E4C21"/>
    <w:rsid w:val="009E58B9"/>
    <w:rsid w:val="009F00FF"/>
    <w:rsid w:val="009F2F7D"/>
    <w:rsid w:val="009F3ED6"/>
    <w:rsid w:val="00A00840"/>
    <w:rsid w:val="00A02CAC"/>
    <w:rsid w:val="00A03F3E"/>
    <w:rsid w:val="00A03FB0"/>
    <w:rsid w:val="00A07048"/>
    <w:rsid w:val="00A12438"/>
    <w:rsid w:val="00A204F3"/>
    <w:rsid w:val="00A2584B"/>
    <w:rsid w:val="00A30EDE"/>
    <w:rsid w:val="00A33730"/>
    <w:rsid w:val="00A36FF5"/>
    <w:rsid w:val="00A44397"/>
    <w:rsid w:val="00A548A0"/>
    <w:rsid w:val="00A571ED"/>
    <w:rsid w:val="00A61612"/>
    <w:rsid w:val="00A67CAD"/>
    <w:rsid w:val="00A73B96"/>
    <w:rsid w:val="00A777C9"/>
    <w:rsid w:val="00A81961"/>
    <w:rsid w:val="00A82567"/>
    <w:rsid w:val="00A827DE"/>
    <w:rsid w:val="00A82B1A"/>
    <w:rsid w:val="00A82DED"/>
    <w:rsid w:val="00A86EEB"/>
    <w:rsid w:val="00A91078"/>
    <w:rsid w:val="00AA21DC"/>
    <w:rsid w:val="00AA7726"/>
    <w:rsid w:val="00AB019D"/>
    <w:rsid w:val="00AB398C"/>
    <w:rsid w:val="00AB4E56"/>
    <w:rsid w:val="00AB605A"/>
    <w:rsid w:val="00AB66C5"/>
    <w:rsid w:val="00AB6771"/>
    <w:rsid w:val="00AB6ED3"/>
    <w:rsid w:val="00AC1B23"/>
    <w:rsid w:val="00AC29CD"/>
    <w:rsid w:val="00AC2C57"/>
    <w:rsid w:val="00AC6C1B"/>
    <w:rsid w:val="00AD015C"/>
    <w:rsid w:val="00AD1785"/>
    <w:rsid w:val="00AD2D0C"/>
    <w:rsid w:val="00AD5D52"/>
    <w:rsid w:val="00AD6542"/>
    <w:rsid w:val="00AE1AEB"/>
    <w:rsid w:val="00AE2FF8"/>
    <w:rsid w:val="00AE446A"/>
    <w:rsid w:val="00AE5947"/>
    <w:rsid w:val="00AF1538"/>
    <w:rsid w:val="00AF1CDF"/>
    <w:rsid w:val="00AF4098"/>
    <w:rsid w:val="00AF5F91"/>
    <w:rsid w:val="00AF7E65"/>
    <w:rsid w:val="00B03880"/>
    <w:rsid w:val="00B11025"/>
    <w:rsid w:val="00B12312"/>
    <w:rsid w:val="00B14684"/>
    <w:rsid w:val="00B1490C"/>
    <w:rsid w:val="00B15A04"/>
    <w:rsid w:val="00B22F0B"/>
    <w:rsid w:val="00B25C24"/>
    <w:rsid w:val="00B31D58"/>
    <w:rsid w:val="00B3232C"/>
    <w:rsid w:val="00B330BD"/>
    <w:rsid w:val="00B37246"/>
    <w:rsid w:val="00B416C3"/>
    <w:rsid w:val="00B4259F"/>
    <w:rsid w:val="00B42B42"/>
    <w:rsid w:val="00B42F63"/>
    <w:rsid w:val="00B477C5"/>
    <w:rsid w:val="00B47AE2"/>
    <w:rsid w:val="00B53B2C"/>
    <w:rsid w:val="00B56585"/>
    <w:rsid w:val="00B56B2E"/>
    <w:rsid w:val="00B615D9"/>
    <w:rsid w:val="00B625B9"/>
    <w:rsid w:val="00B62D51"/>
    <w:rsid w:val="00B62DD4"/>
    <w:rsid w:val="00B676D5"/>
    <w:rsid w:val="00B726B3"/>
    <w:rsid w:val="00B81B0A"/>
    <w:rsid w:val="00B8290D"/>
    <w:rsid w:val="00B84047"/>
    <w:rsid w:val="00B868B0"/>
    <w:rsid w:val="00B9028D"/>
    <w:rsid w:val="00B90E43"/>
    <w:rsid w:val="00B927D3"/>
    <w:rsid w:val="00B9656D"/>
    <w:rsid w:val="00B97817"/>
    <w:rsid w:val="00BA00CF"/>
    <w:rsid w:val="00BA4E12"/>
    <w:rsid w:val="00BA5206"/>
    <w:rsid w:val="00BA6C28"/>
    <w:rsid w:val="00BA78BE"/>
    <w:rsid w:val="00BB165F"/>
    <w:rsid w:val="00BB2156"/>
    <w:rsid w:val="00BB3A01"/>
    <w:rsid w:val="00BB4573"/>
    <w:rsid w:val="00BB636B"/>
    <w:rsid w:val="00BC13A1"/>
    <w:rsid w:val="00BC1779"/>
    <w:rsid w:val="00BC2715"/>
    <w:rsid w:val="00BC3CAB"/>
    <w:rsid w:val="00BC6734"/>
    <w:rsid w:val="00BC7486"/>
    <w:rsid w:val="00BD41E7"/>
    <w:rsid w:val="00BD5F2F"/>
    <w:rsid w:val="00BD70F6"/>
    <w:rsid w:val="00BE4E17"/>
    <w:rsid w:val="00BE5BEA"/>
    <w:rsid w:val="00BF0F15"/>
    <w:rsid w:val="00BF2555"/>
    <w:rsid w:val="00BF3C7E"/>
    <w:rsid w:val="00BF4610"/>
    <w:rsid w:val="00BF79E3"/>
    <w:rsid w:val="00C0177E"/>
    <w:rsid w:val="00C03326"/>
    <w:rsid w:val="00C037B5"/>
    <w:rsid w:val="00C04822"/>
    <w:rsid w:val="00C05607"/>
    <w:rsid w:val="00C07342"/>
    <w:rsid w:val="00C107A7"/>
    <w:rsid w:val="00C11233"/>
    <w:rsid w:val="00C1716E"/>
    <w:rsid w:val="00C20757"/>
    <w:rsid w:val="00C25C89"/>
    <w:rsid w:val="00C269A9"/>
    <w:rsid w:val="00C37D11"/>
    <w:rsid w:val="00C40B50"/>
    <w:rsid w:val="00C41ACA"/>
    <w:rsid w:val="00C420B9"/>
    <w:rsid w:val="00C45237"/>
    <w:rsid w:val="00C46E60"/>
    <w:rsid w:val="00C47E17"/>
    <w:rsid w:val="00C50579"/>
    <w:rsid w:val="00C53E40"/>
    <w:rsid w:val="00C55261"/>
    <w:rsid w:val="00C64BCC"/>
    <w:rsid w:val="00C66B99"/>
    <w:rsid w:val="00C75394"/>
    <w:rsid w:val="00C840B3"/>
    <w:rsid w:val="00C851AE"/>
    <w:rsid w:val="00C97420"/>
    <w:rsid w:val="00C97EC9"/>
    <w:rsid w:val="00CA0700"/>
    <w:rsid w:val="00CA1B4E"/>
    <w:rsid w:val="00CA4AB6"/>
    <w:rsid w:val="00CB64E5"/>
    <w:rsid w:val="00CC3588"/>
    <w:rsid w:val="00CC523C"/>
    <w:rsid w:val="00CC6FE2"/>
    <w:rsid w:val="00CC789E"/>
    <w:rsid w:val="00CD32DF"/>
    <w:rsid w:val="00CD35B7"/>
    <w:rsid w:val="00CD3DED"/>
    <w:rsid w:val="00CD70B2"/>
    <w:rsid w:val="00CD74D3"/>
    <w:rsid w:val="00CE03D6"/>
    <w:rsid w:val="00CE047F"/>
    <w:rsid w:val="00CE0A87"/>
    <w:rsid w:val="00CE24C0"/>
    <w:rsid w:val="00CE4AAF"/>
    <w:rsid w:val="00CE5964"/>
    <w:rsid w:val="00CF1727"/>
    <w:rsid w:val="00D00671"/>
    <w:rsid w:val="00D03F3C"/>
    <w:rsid w:val="00D066AF"/>
    <w:rsid w:val="00D06913"/>
    <w:rsid w:val="00D104C8"/>
    <w:rsid w:val="00D11444"/>
    <w:rsid w:val="00D156BC"/>
    <w:rsid w:val="00D17C3B"/>
    <w:rsid w:val="00D2084C"/>
    <w:rsid w:val="00D21ACA"/>
    <w:rsid w:val="00D23037"/>
    <w:rsid w:val="00D23465"/>
    <w:rsid w:val="00D23D80"/>
    <w:rsid w:val="00D24332"/>
    <w:rsid w:val="00D3022B"/>
    <w:rsid w:val="00D321B5"/>
    <w:rsid w:val="00D330F2"/>
    <w:rsid w:val="00D33736"/>
    <w:rsid w:val="00D3488E"/>
    <w:rsid w:val="00D354E9"/>
    <w:rsid w:val="00D43420"/>
    <w:rsid w:val="00D46CB2"/>
    <w:rsid w:val="00D50240"/>
    <w:rsid w:val="00D56737"/>
    <w:rsid w:val="00D56780"/>
    <w:rsid w:val="00D61242"/>
    <w:rsid w:val="00D6546F"/>
    <w:rsid w:val="00D71517"/>
    <w:rsid w:val="00D73A8F"/>
    <w:rsid w:val="00D742B5"/>
    <w:rsid w:val="00D75FCA"/>
    <w:rsid w:val="00D77276"/>
    <w:rsid w:val="00D8157B"/>
    <w:rsid w:val="00D91B3F"/>
    <w:rsid w:val="00D946D3"/>
    <w:rsid w:val="00D9778D"/>
    <w:rsid w:val="00D97FBB"/>
    <w:rsid w:val="00DA5E07"/>
    <w:rsid w:val="00DB4AB6"/>
    <w:rsid w:val="00DC2187"/>
    <w:rsid w:val="00DD6949"/>
    <w:rsid w:val="00DD75B8"/>
    <w:rsid w:val="00DE2C67"/>
    <w:rsid w:val="00DF41EE"/>
    <w:rsid w:val="00DF4413"/>
    <w:rsid w:val="00E021FE"/>
    <w:rsid w:val="00E079F5"/>
    <w:rsid w:val="00E10DC8"/>
    <w:rsid w:val="00E11A1F"/>
    <w:rsid w:val="00E12621"/>
    <w:rsid w:val="00E13F3A"/>
    <w:rsid w:val="00E1553E"/>
    <w:rsid w:val="00E15857"/>
    <w:rsid w:val="00E26C24"/>
    <w:rsid w:val="00E278A3"/>
    <w:rsid w:val="00E32B52"/>
    <w:rsid w:val="00E33DE9"/>
    <w:rsid w:val="00E37A6C"/>
    <w:rsid w:val="00E37E14"/>
    <w:rsid w:val="00E450AC"/>
    <w:rsid w:val="00E45B9A"/>
    <w:rsid w:val="00E46CC6"/>
    <w:rsid w:val="00E5066C"/>
    <w:rsid w:val="00E5246E"/>
    <w:rsid w:val="00E55895"/>
    <w:rsid w:val="00E61BB2"/>
    <w:rsid w:val="00E6211C"/>
    <w:rsid w:val="00E62FCA"/>
    <w:rsid w:val="00E647D9"/>
    <w:rsid w:val="00E6596F"/>
    <w:rsid w:val="00E67D1C"/>
    <w:rsid w:val="00E734D7"/>
    <w:rsid w:val="00E80AED"/>
    <w:rsid w:val="00E85721"/>
    <w:rsid w:val="00E859EA"/>
    <w:rsid w:val="00E94E9B"/>
    <w:rsid w:val="00E97005"/>
    <w:rsid w:val="00EA1899"/>
    <w:rsid w:val="00EA337A"/>
    <w:rsid w:val="00EA616D"/>
    <w:rsid w:val="00EA7E84"/>
    <w:rsid w:val="00EB01BE"/>
    <w:rsid w:val="00EB2573"/>
    <w:rsid w:val="00EC120C"/>
    <w:rsid w:val="00EC210C"/>
    <w:rsid w:val="00EC5D14"/>
    <w:rsid w:val="00ED107E"/>
    <w:rsid w:val="00EE0FB9"/>
    <w:rsid w:val="00EE3F4E"/>
    <w:rsid w:val="00EE56FF"/>
    <w:rsid w:val="00EE7689"/>
    <w:rsid w:val="00EF2197"/>
    <w:rsid w:val="00EF5C6C"/>
    <w:rsid w:val="00EF65DE"/>
    <w:rsid w:val="00EF6AD9"/>
    <w:rsid w:val="00EF6D76"/>
    <w:rsid w:val="00EF7CB8"/>
    <w:rsid w:val="00F03D66"/>
    <w:rsid w:val="00F05C3D"/>
    <w:rsid w:val="00F11C52"/>
    <w:rsid w:val="00F123AB"/>
    <w:rsid w:val="00F125E2"/>
    <w:rsid w:val="00F158BA"/>
    <w:rsid w:val="00F16F0A"/>
    <w:rsid w:val="00F21AF5"/>
    <w:rsid w:val="00F3679F"/>
    <w:rsid w:val="00F376CE"/>
    <w:rsid w:val="00F43E13"/>
    <w:rsid w:val="00F4494D"/>
    <w:rsid w:val="00F44DF2"/>
    <w:rsid w:val="00F45610"/>
    <w:rsid w:val="00F466A5"/>
    <w:rsid w:val="00F5155F"/>
    <w:rsid w:val="00F53556"/>
    <w:rsid w:val="00F53F7F"/>
    <w:rsid w:val="00F54BBF"/>
    <w:rsid w:val="00F55362"/>
    <w:rsid w:val="00F6042A"/>
    <w:rsid w:val="00F61C84"/>
    <w:rsid w:val="00F639CF"/>
    <w:rsid w:val="00F64646"/>
    <w:rsid w:val="00F64E02"/>
    <w:rsid w:val="00F652AA"/>
    <w:rsid w:val="00F709C3"/>
    <w:rsid w:val="00F7323C"/>
    <w:rsid w:val="00F736CF"/>
    <w:rsid w:val="00F739CE"/>
    <w:rsid w:val="00F76D46"/>
    <w:rsid w:val="00F81A39"/>
    <w:rsid w:val="00F822B8"/>
    <w:rsid w:val="00F825E3"/>
    <w:rsid w:val="00F8387F"/>
    <w:rsid w:val="00F8541B"/>
    <w:rsid w:val="00F906E4"/>
    <w:rsid w:val="00F90A23"/>
    <w:rsid w:val="00F949FC"/>
    <w:rsid w:val="00F95439"/>
    <w:rsid w:val="00F96FED"/>
    <w:rsid w:val="00F97AAA"/>
    <w:rsid w:val="00FA060B"/>
    <w:rsid w:val="00FA072A"/>
    <w:rsid w:val="00FA16A3"/>
    <w:rsid w:val="00FA2D2E"/>
    <w:rsid w:val="00FA4CD6"/>
    <w:rsid w:val="00FA64DE"/>
    <w:rsid w:val="00FA663D"/>
    <w:rsid w:val="00FB0659"/>
    <w:rsid w:val="00FB1436"/>
    <w:rsid w:val="00FB348B"/>
    <w:rsid w:val="00FB6258"/>
    <w:rsid w:val="00FC016F"/>
    <w:rsid w:val="00FC522D"/>
    <w:rsid w:val="00FC7EBA"/>
    <w:rsid w:val="00FD09C7"/>
    <w:rsid w:val="00FD3788"/>
    <w:rsid w:val="00FD4E46"/>
    <w:rsid w:val="00FD5D43"/>
    <w:rsid w:val="00FE18C5"/>
    <w:rsid w:val="00FE6B9A"/>
    <w:rsid w:val="00FF014B"/>
    <w:rsid w:val="00FF1B22"/>
    <w:rsid w:val="00FF5385"/>
    <w:rsid w:val="00FF6187"/>
    <w:rsid w:val="00FF6497"/>
    <w:rsid w:val="00FF791C"/>
    <w:rsid w:val="022102B8"/>
    <w:rsid w:val="02723F09"/>
    <w:rsid w:val="08222906"/>
    <w:rsid w:val="098442A3"/>
    <w:rsid w:val="0C5B757D"/>
    <w:rsid w:val="100A0A14"/>
    <w:rsid w:val="102050E7"/>
    <w:rsid w:val="144E62BB"/>
    <w:rsid w:val="163723E5"/>
    <w:rsid w:val="1B475316"/>
    <w:rsid w:val="1B74729E"/>
    <w:rsid w:val="20853320"/>
    <w:rsid w:val="21621C14"/>
    <w:rsid w:val="229E04F3"/>
    <w:rsid w:val="242B32F2"/>
    <w:rsid w:val="2556758F"/>
    <w:rsid w:val="27050209"/>
    <w:rsid w:val="28937156"/>
    <w:rsid w:val="29B833B7"/>
    <w:rsid w:val="2C0A4EA8"/>
    <w:rsid w:val="2E96071F"/>
    <w:rsid w:val="2F4A02C4"/>
    <w:rsid w:val="32A02735"/>
    <w:rsid w:val="35EB4F89"/>
    <w:rsid w:val="376B42E6"/>
    <w:rsid w:val="37916FBF"/>
    <w:rsid w:val="39871F8D"/>
    <w:rsid w:val="39D258B5"/>
    <w:rsid w:val="3A4F01E6"/>
    <w:rsid w:val="3CAE0236"/>
    <w:rsid w:val="3F727C4D"/>
    <w:rsid w:val="41E14E41"/>
    <w:rsid w:val="438C0FD2"/>
    <w:rsid w:val="44C24A44"/>
    <w:rsid w:val="4B183896"/>
    <w:rsid w:val="4BB8433C"/>
    <w:rsid w:val="4F1D2F3B"/>
    <w:rsid w:val="58C70034"/>
    <w:rsid w:val="5B946BE2"/>
    <w:rsid w:val="5C1C13B7"/>
    <w:rsid w:val="681817F5"/>
    <w:rsid w:val="69B455B6"/>
    <w:rsid w:val="6B8C0932"/>
    <w:rsid w:val="6F055B3B"/>
    <w:rsid w:val="6F391876"/>
    <w:rsid w:val="74975BC3"/>
    <w:rsid w:val="74E7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qFormat/>
    <w:uiPriority w:val="0"/>
    <w:pPr>
      <w:widowControl/>
      <w:spacing w:before="340" w:after="330" w:line="576" w:lineRule="auto"/>
      <w:outlineLvl w:val="0"/>
    </w:pPr>
    <w:rPr>
      <w:rFonts w:ascii="Calibri" w:hAnsi="Calibri" w:eastAsia="宋体" w:cs="宋体"/>
      <w:b/>
      <w:bCs/>
      <w:kern w:val="36"/>
      <w:sz w:val="44"/>
      <w:szCs w:val="44"/>
    </w:rPr>
  </w:style>
  <w:style w:type="paragraph" w:styleId="3">
    <w:name w:val="heading 2"/>
    <w:basedOn w:val="1"/>
    <w:qFormat/>
    <w:uiPriority w:val="0"/>
    <w:pPr>
      <w:widowControl/>
      <w:spacing w:before="260" w:after="260" w:line="412" w:lineRule="auto"/>
      <w:outlineLvl w:val="1"/>
    </w:pPr>
    <w:rPr>
      <w:rFonts w:ascii="Cambria" w:hAnsi="Cambria" w:eastAsia="宋体" w:cs="宋体"/>
      <w:b/>
      <w:bCs/>
      <w:kern w:val="0"/>
    </w:rPr>
  </w:style>
  <w:style w:type="paragraph" w:styleId="4">
    <w:name w:val="heading 3"/>
    <w:basedOn w:val="1"/>
    <w:qFormat/>
    <w:uiPriority w:val="0"/>
    <w:pPr>
      <w:widowControl/>
      <w:spacing w:before="260" w:after="260" w:line="412" w:lineRule="auto"/>
      <w:outlineLvl w:val="2"/>
    </w:pPr>
    <w:rPr>
      <w:rFonts w:ascii="Calibri" w:hAnsi="Calibri" w:eastAsia="宋体" w:cs="宋体"/>
      <w:b/>
      <w:bCs/>
      <w:kern w:val="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1"/>
      </w:numPr>
      <w:tabs>
        <w:tab w:val="left" w:pos="0"/>
      </w:tabs>
      <w:ind w:firstLine="0"/>
    </w:pPr>
    <w:rPr>
      <w:szCs w:val="20"/>
    </w:rPr>
  </w:style>
  <w:style w:type="paragraph" w:styleId="6">
    <w:name w:val="Normal Indent"/>
    <w:basedOn w:val="1"/>
    <w:qFormat/>
    <w:uiPriority w:val="0"/>
    <w:pPr>
      <w:ind w:firstLine="420" w:firstLineChars="200"/>
    </w:pPr>
  </w:style>
  <w:style w:type="paragraph" w:styleId="7">
    <w:name w:val="Body Text"/>
    <w:basedOn w:val="1"/>
    <w:uiPriority w:val="0"/>
    <w:pPr>
      <w:spacing w:line="560" w:lineRule="exact"/>
      <w:jc w:val="center"/>
    </w:pPr>
    <w:rPr>
      <w:rFonts w:ascii="文星标宋" w:eastAsia="文星标宋"/>
      <w:spacing w:val="-13"/>
      <w:sz w:val="40"/>
      <w:szCs w:val="40"/>
    </w:rPr>
  </w:style>
  <w:style w:type="paragraph" w:styleId="8">
    <w:name w:val="Body Text Indent"/>
    <w:basedOn w:val="1"/>
    <w:qFormat/>
    <w:uiPriority w:val="0"/>
    <w:pPr>
      <w:spacing w:line="620" w:lineRule="exact"/>
      <w:ind w:firstLine="548" w:firstLineChars="200"/>
    </w:pPr>
    <w:rPr>
      <w:rFonts w:ascii="仿宋_GB2312"/>
      <w:spacing w:val="-20"/>
    </w:rPr>
  </w:style>
  <w:style w:type="paragraph" w:styleId="9">
    <w:name w:val="Plain Text"/>
    <w:basedOn w:val="1"/>
    <w:link w:val="23"/>
    <w:qFormat/>
    <w:uiPriority w:val="0"/>
    <w:rPr>
      <w:rFonts w:ascii="宋体" w:hAnsi="Courier New"/>
      <w:szCs w:val="20"/>
    </w:rPr>
  </w:style>
  <w:style w:type="paragraph" w:styleId="10">
    <w:name w:val="Date"/>
    <w:basedOn w:val="1"/>
    <w:next w:val="1"/>
    <w:uiPriority w:val="0"/>
    <w:pPr>
      <w:ind w:left="100" w:leftChars="2500"/>
    </w:pPr>
  </w:style>
  <w:style w:type="paragraph" w:styleId="11">
    <w:name w:val="Body Text Indent 2"/>
    <w:basedOn w:val="1"/>
    <w:qFormat/>
    <w:uiPriority w:val="0"/>
    <w:pPr>
      <w:spacing w:line="580" w:lineRule="exact"/>
      <w:ind w:firstLine="628" w:firstLineChars="200"/>
    </w:pPr>
    <w:rPr>
      <w:rFonts w:ascii="仿宋_GB2312"/>
    </w:rPr>
  </w:style>
  <w:style w:type="paragraph" w:styleId="12">
    <w:name w:val="Balloon Text"/>
    <w:basedOn w:val="1"/>
    <w:semiHidden/>
    <w:qFormat/>
    <w:uiPriority w:val="0"/>
    <w:rPr>
      <w:sz w:val="18"/>
      <w:szCs w:val="18"/>
    </w:rPr>
  </w:style>
  <w:style w:type="paragraph" w:styleId="13">
    <w:name w:val="footer"/>
    <w:basedOn w:val="1"/>
    <w:link w:val="24"/>
    <w:qFormat/>
    <w:uiPriority w:val="99"/>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rPr>
      <w:rFonts w:ascii="Calibri" w:hAnsi="Calibri"/>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qFormat/>
    <w:uiPriority w:val="0"/>
  </w:style>
  <w:style w:type="character" w:styleId="22">
    <w:name w:val="Hyperlink"/>
    <w:uiPriority w:val="0"/>
    <w:rPr>
      <w:color w:val="0000FF"/>
      <w:u w:val="single"/>
    </w:rPr>
  </w:style>
  <w:style w:type="character" w:customStyle="1" w:styleId="23">
    <w:name w:val="纯文本 字符"/>
    <w:link w:val="9"/>
    <w:qFormat/>
    <w:locked/>
    <w:uiPriority w:val="0"/>
    <w:rPr>
      <w:rFonts w:ascii="宋体" w:hAnsi="Courier New" w:eastAsia="仿宋_GB2312"/>
      <w:kern w:val="2"/>
      <w:sz w:val="32"/>
      <w:lang w:val="en-US" w:eastAsia="zh-CN" w:bidi="ar-SA"/>
    </w:rPr>
  </w:style>
  <w:style w:type="character" w:customStyle="1" w:styleId="24">
    <w:name w:val="页脚 字符"/>
    <w:link w:val="13"/>
    <w:qFormat/>
    <w:uiPriority w:val="0"/>
    <w:rPr>
      <w:rFonts w:eastAsia="宋体"/>
      <w:kern w:val="2"/>
      <w:sz w:val="18"/>
      <w:szCs w:val="18"/>
      <w:lang w:val="en-US" w:eastAsia="zh-CN" w:bidi="ar-SA"/>
    </w:rPr>
  </w:style>
  <w:style w:type="character" w:customStyle="1" w:styleId="25">
    <w:name w:val="font91"/>
    <w:basedOn w:val="19"/>
    <w:qFormat/>
    <w:uiPriority w:val="0"/>
    <w:rPr>
      <w:rFonts w:hint="eastAsia" w:ascii="宋体" w:hAnsi="宋体" w:eastAsia="宋体" w:cs="宋体"/>
      <w:color w:val="000000"/>
      <w:sz w:val="20"/>
      <w:szCs w:val="20"/>
      <w:u w:val="none"/>
    </w:rPr>
  </w:style>
  <w:style w:type="character" w:customStyle="1" w:styleId="26">
    <w:name w:val="fontstyle01"/>
    <w:basedOn w:val="19"/>
    <w:qFormat/>
    <w:uiPriority w:val="0"/>
    <w:rPr>
      <w:rFonts w:ascii="CIDFont + F4" w:hAnsi="CIDFont + F4" w:eastAsia="CIDFont + F4" w:cs="CIDFont + F4"/>
      <w:color w:val="000000"/>
      <w:sz w:val="32"/>
      <w:szCs w:val="32"/>
    </w:rPr>
  </w:style>
  <w:style w:type="character" w:customStyle="1" w:styleId="27">
    <w:name w:val="纯文本 Char"/>
    <w:locked/>
    <w:uiPriority w:val="0"/>
    <w:rPr>
      <w:rFonts w:ascii="宋体" w:hAnsi="Courier New" w:eastAsia="仿宋_GB2312"/>
      <w:kern w:val="2"/>
      <w:sz w:val="32"/>
      <w:lang w:val="en-US" w:eastAsia="zh-CN" w:bidi="ar-SA"/>
    </w:rPr>
  </w:style>
  <w:style w:type="character" w:customStyle="1" w:styleId="28">
    <w:name w:val="页脚 Char"/>
    <w:qFormat/>
    <w:uiPriority w:val="0"/>
    <w:rPr>
      <w:rFonts w:eastAsia="宋体"/>
      <w:kern w:val="2"/>
      <w:sz w:val="18"/>
      <w:szCs w:val="18"/>
      <w:lang w:val="en-US" w:eastAsia="zh-CN" w:bidi="ar-SA"/>
    </w:rPr>
  </w:style>
  <w:style w:type="character" w:customStyle="1" w:styleId="29">
    <w:name w:val="16"/>
    <w:qFormat/>
    <w:uiPriority w:val="0"/>
    <w:rPr>
      <w:rFonts w:hint="eastAsia" w:ascii="宋体" w:hAnsi="宋体" w:eastAsia="宋体"/>
      <w:b/>
      <w:bCs/>
      <w:color w:val="000000"/>
      <w:sz w:val="16"/>
      <w:szCs w:val="16"/>
    </w:rPr>
  </w:style>
  <w:style w:type="character" w:customStyle="1" w:styleId="30">
    <w:name w:val="font51"/>
    <w:qFormat/>
    <w:uiPriority w:val="0"/>
    <w:rPr>
      <w:rFonts w:hint="eastAsia" w:ascii="宋体" w:hAnsi="宋体" w:eastAsia="宋体"/>
      <w:color w:val="000000"/>
      <w:sz w:val="22"/>
      <w:szCs w:val="22"/>
      <w:u w:val="none"/>
    </w:rPr>
  </w:style>
  <w:style w:type="character" w:customStyle="1" w:styleId="31">
    <w:name w:val="17"/>
    <w:qFormat/>
    <w:uiPriority w:val="0"/>
    <w:rPr>
      <w:rFonts w:hint="eastAsia" w:ascii="宋体" w:hAnsi="宋体" w:eastAsia="宋体"/>
      <w:color w:val="000000"/>
      <w:sz w:val="16"/>
      <w:szCs w:val="16"/>
    </w:rPr>
  </w:style>
  <w:style w:type="character" w:customStyle="1" w:styleId="32">
    <w:name w:val="15"/>
    <w:uiPriority w:val="0"/>
    <w:rPr>
      <w:rFonts w:hint="default" w:ascii="Times New Roman" w:hAnsi="Times New Roman" w:cs="Times New Roman"/>
      <w:color w:val="2D64B3"/>
      <w:sz w:val="20"/>
      <w:szCs w:val="20"/>
      <w:u w:val="none"/>
    </w:rPr>
  </w:style>
  <w:style w:type="character" w:customStyle="1" w:styleId="33">
    <w:name w:val="font31"/>
    <w:basedOn w:val="19"/>
    <w:qFormat/>
    <w:uiPriority w:val="0"/>
    <w:rPr>
      <w:rFonts w:hint="eastAsia" w:ascii="宋体" w:hAnsi="宋体" w:eastAsia="宋体"/>
      <w:color w:val="FF0000"/>
      <w:sz w:val="22"/>
      <w:szCs w:val="22"/>
      <w:u w:val="none"/>
    </w:rPr>
  </w:style>
  <w:style w:type="character" w:customStyle="1" w:styleId="34">
    <w:name w:val="h1231"/>
    <w:qFormat/>
    <w:uiPriority w:val="0"/>
    <w:rPr>
      <w:rFonts w:hint="default" w:ascii="ˎ̥" w:hAnsi="ˎ̥"/>
      <w:color w:val="000000"/>
      <w:sz w:val="28"/>
      <w:szCs w:val="28"/>
      <w:u w:val="none"/>
    </w:rPr>
  </w:style>
  <w:style w:type="character" w:customStyle="1" w:styleId="35">
    <w:name w:val="样式 (西文) 仿宋_GB2312 四号"/>
    <w:qFormat/>
    <w:uiPriority w:val="0"/>
    <w:rPr>
      <w:rFonts w:ascii="Arial" w:hAnsi="Arial" w:eastAsia="仿宋_GB2312"/>
      <w:sz w:val="28"/>
    </w:rPr>
  </w:style>
  <w:style w:type="paragraph" w:customStyle="1" w:styleId="36">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37">
    <w:name w:val="列出段落"/>
    <w:basedOn w:val="1"/>
    <w:qFormat/>
    <w:uiPriority w:val="0"/>
    <w:pPr>
      <w:ind w:firstLine="420" w:firstLineChars="200"/>
    </w:pPr>
    <w:rPr>
      <w:rFonts w:eastAsia="宋体"/>
      <w:sz w:val="21"/>
      <w:szCs w:val="24"/>
    </w:rPr>
  </w:style>
  <w:style w:type="paragraph" w:customStyle="1" w:styleId="38">
    <w:name w:val="p17"/>
    <w:basedOn w:val="1"/>
    <w:qFormat/>
    <w:uiPriority w:val="0"/>
    <w:pPr>
      <w:widowControl/>
      <w:spacing w:before="100" w:after="100"/>
      <w:jc w:val="left"/>
    </w:pPr>
    <w:rPr>
      <w:rFonts w:ascii="宋体" w:hAnsi="宋体" w:eastAsia="宋体" w:cs="宋体"/>
      <w:kern w:val="0"/>
      <w:sz w:val="24"/>
      <w:szCs w:val="24"/>
    </w:rPr>
  </w:style>
  <w:style w:type="paragraph" w:customStyle="1" w:styleId="39">
    <w:name w:val="p16"/>
    <w:basedOn w:val="1"/>
    <w:qFormat/>
    <w:uiPriority w:val="0"/>
    <w:pPr>
      <w:widowControl/>
      <w:spacing w:after="120"/>
      <w:ind w:left="420"/>
    </w:pPr>
    <w:rPr>
      <w:rFonts w:eastAsia="宋体"/>
      <w:kern w:val="0"/>
      <w:sz w:val="21"/>
      <w:szCs w:val="21"/>
    </w:rPr>
  </w:style>
  <w:style w:type="paragraph" w:customStyle="1" w:styleId="40">
    <w:name w:val="Table Paragraph"/>
    <w:basedOn w:val="1"/>
    <w:qFormat/>
    <w:uiPriority w:val="0"/>
  </w:style>
  <w:style w:type="paragraph" w:customStyle="1" w:styleId="41">
    <w:name w:val="p18"/>
    <w:basedOn w:val="1"/>
    <w:qFormat/>
    <w:uiPriority w:val="0"/>
    <w:pPr>
      <w:widowControl/>
      <w:spacing w:before="100" w:after="100"/>
      <w:jc w:val="left"/>
    </w:pPr>
    <w:rPr>
      <w:rFonts w:ascii="宋体" w:hAnsi="宋体" w:eastAsia="宋体" w:cs="宋体"/>
      <w:kern w:val="0"/>
      <w:sz w:val="24"/>
      <w:szCs w:val="24"/>
    </w:rPr>
  </w:style>
  <w:style w:type="paragraph" w:customStyle="1" w:styleId="42">
    <w:name w:val="p0"/>
    <w:basedOn w:val="1"/>
    <w:qFormat/>
    <w:uiPriority w:val="0"/>
    <w:pPr>
      <w:widowControl/>
    </w:pPr>
    <w:rPr>
      <w:rFonts w:eastAsia="宋体"/>
      <w:kern w:val="0"/>
      <w:sz w:val="21"/>
      <w:szCs w:val="21"/>
    </w:rPr>
  </w:style>
  <w:style w:type="paragraph" w:customStyle="1" w:styleId="43">
    <w:name w:val="BodyTextIndent"/>
    <w:basedOn w:val="1"/>
    <w:qFormat/>
    <w:uiPriority w:val="0"/>
    <w:pPr>
      <w:ind w:firstLine="680"/>
    </w:pPr>
    <w:rPr>
      <w:rFonts w:ascii="仿宋_GB2312" w:hAnsi="创艺简标宋"/>
    </w:rPr>
  </w:style>
  <w:style w:type="paragraph" w:customStyle="1" w:styleId="44">
    <w:name w:val="BodyText1I2"/>
    <w:basedOn w:val="43"/>
    <w:qFormat/>
    <w:uiPriority w:val="0"/>
    <w:pPr>
      <w:ind w:firstLine="420"/>
    </w:pPr>
  </w:style>
  <w:style w:type="paragraph" w:customStyle="1" w:styleId="45">
    <w:name w:val="Char1"/>
    <w:basedOn w:val="1"/>
    <w:qFormat/>
    <w:uiPriority w:val="0"/>
    <w:pPr>
      <w:tabs>
        <w:tab w:val="left" w:pos="360"/>
      </w:tabs>
    </w:pPr>
    <w:rPr>
      <w:sz w:val="24"/>
      <w:szCs w:val="36"/>
    </w:rPr>
  </w:style>
  <w:style w:type="character" w:customStyle="1" w:styleId="46">
    <w:name w:val="font21"/>
    <w:basedOn w:val="19"/>
    <w:qFormat/>
    <w:uiPriority w:val="0"/>
    <w:rPr>
      <w:rFonts w:hint="default" w:ascii="仿宋_GB2312" w:eastAsia="仿宋_GB2312" w:cs="仿宋_GB2312"/>
      <w:b/>
      <w:color w:val="000000"/>
      <w:sz w:val="24"/>
      <w:szCs w:val="24"/>
      <w:u w:val="none"/>
    </w:rPr>
  </w:style>
  <w:style w:type="character" w:customStyle="1" w:styleId="47">
    <w:name w:val="font01"/>
    <w:basedOn w:val="19"/>
    <w:qFormat/>
    <w:uiPriority w:val="0"/>
    <w:rPr>
      <w:rFonts w:hint="default" w:ascii="等线" w:hAnsi="等线" w:eastAsia="等线" w:cs="等线"/>
      <w:b/>
      <w:color w:val="000000"/>
      <w:sz w:val="22"/>
      <w:szCs w:val="22"/>
      <w:u w:val="none"/>
    </w:rPr>
  </w:style>
  <w:style w:type="character" w:customStyle="1" w:styleId="48">
    <w:name w:val="font71"/>
    <w:basedOn w:val="19"/>
    <w:qFormat/>
    <w:uiPriority w:val="0"/>
    <w:rPr>
      <w:rFonts w:hint="eastAsia" w:ascii="宋体" w:hAnsi="宋体" w:eastAsia="宋体" w:cs="宋体"/>
      <w:color w:val="FF0000"/>
      <w:sz w:val="20"/>
      <w:szCs w:val="20"/>
      <w:u w:val="none"/>
    </w:rPr>
  </w:style>
  <w:style w:type="character" w:customStyle="1" w:styleId="49">
    <w:name w:val="font41"/>
    <w:basedOn w:val="19"/>
    <w:qFormat/>
    <w:uiPriority w:val="0"/>
    <w:rPr>
      <w:rFonts w:hint="eastAsia" w:ascii="宋体" w:hAnsi="宋体" w:eastAsia="宋体" w:cs="宋体"/>
      <w:color w:val="000000"/>
      <w:sz w:val="20"/>
      <w:szCs w:val="20"/>
      <w:u w:val="none"/>
    </w:rPr>
  </w:style>
  <w:style w:type="character" w:customStyle="1" w:styleId="50">
    <w:name w:val="font6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786</Words>
  <Characters>836</Characters>
  <Lines>9</Lines>
  <Paragraphs>2</Paragraphs>
  <TotalTime>240</TotalTime>
  <ScaleCrop>false</ScaleCrop>
  <LinksUpToDate>false</LinksUpToDate>
  <CharactersWithSpaces>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2025-10-10T02:48:00Z</dcterms:created>
  <dc:creator>微软用户</dc:creator>
  <cp:lastModifiedBy>WSQ</cp:lastModifiedBy>
  <cp:lastPrinted>2025-10-10T08:16:00Z</cp:lastPrinted>
  <dcterms:modified xsi:type="dcterms:W3CDTF">2025-12-11T06:53:54Z</dcterms:modified>
  <dc:title>济发改投资［２００7］　　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8E296097DCBA459D8CFB148FF0F30E67_13</vt:lpwstr>
  </property>
  <property fmtid="{D5CDD505-2E9C-101B-9397-08002B2CF9AE}" pid="4" name="KSOTemplateDocerSaveRecord">
    <vt:lpwstr>eyJoZGlkIjoiZDRiYmE4YTY2NjljNTZlZTA3MzU2MmQ3MmRiMTJlOWQiLCJ1c2VySWQiOiIzMDE1MDM1NDcifQ==</vt:lpwstr>
  </property>
</Properties>
</file>